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sz w:val="24"/>
          <w:szCs w:val="24"/>
          <w:highlight w:val="none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МУНИЦИПАЛЬНОЕ ОБРАЗОВАНИЕ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«ТЫМСКОЕ СЕЛЬСКОЕ ПОСЕЛЕНИЕ»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КАРГАСОКСКИЙ РАЙОН ТОМСКАЯ ОБЛАСТЬ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  <w:t xml:space="preserve">МУНИЦИПАЛЬНОЕ КАЗЕННОЕ УЧРЕЖДЕНИЕ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  <w:t xml:space="preserve">АДМИНИСТРАЦИЯ ТЫМСКОГО СЕЛЬСКОГО ПОСЕЛЕНИЯ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  <w:t xml:space="preserve">ПОСТАНОВЛЕНИЕ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03.03.2025                                                                                                                                    №  </w:t>
      </w:r>
      <w:r>
        <w:rPr>
          <w:rFonts w:ascii="Liberation Serif" w:hAnsi="Liberation Serif" w:cs="Liberation Serif"/>
          <w:sz w:val="24"/>
          <w:szCs w:val="24"/>
        </w:rPr>
        <w:t xml:space="preserve">14</w:t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с. Тымск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  <w:t xml:space="preserve">Об утверждении Административного регламента предоставления муниципальной услуги            </w:t>
        <w:br/>
        <w:t xml:space="preserve">          «Предоставление разрешения на отклонение от предельных параметров разрешенного            </w:t>
        <w:br/>
        <w:t xml:space="preserve">          строительства, реконструкции объекта капитального стр</w:t>
      </w:r>
      <w:r>
        <w:rPr>
          <w:rFonts w:ascii="Liberation Serif" w:hAnsi="Liberation Serif" w:cs="Liberation Serif"/>
          <w:sz w:val="24"/>
          <w:szCs w:val="24"/>
        </w:rPr>
        <w:t xml:space="preserve">оительства»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4"/>
          <w:szCs w:val="24"/>
        </w:rPr>
        <w:t xml:space="preserve">    В соответствии с Градостроительным </w:t>
      </w:r>
      <w:hyperlink r:id="rId10" w:tooltip="consultantplus://offline/ref=6CFBF98586208A1291DE4A3B0FAC552EABBF1F29F728870C4BE3079825FA20DBEF95C1B4F5p2A4F" w:history="1">
        <w:r>
          <w:rPr>
            <w:rStyle w:val="850"/>
            <w:rFonts w:ascii="Liberation Serif" w:hAnsi="Liberation Serif" w:eastAsia="Times New Roman" w:cs="Liberation Serif"/>
            <w:color w:val="0000ee"/>
            <w:sz w:val="24"/>
            <w:szCs w:val="24"/>
            <w:u w:val="single"/>
          </w:rPr>
          <w:t xml:space="preserve">кодексом</w:t>
        </w:r>
      </w:hyperlink>
      <w:r>
        <w:rPr>
          <w:rFonts w:ascii="Liberation Serif" w:hAnsi="Liberation Serif" w:eastAsia="Times New Roman" w:cs="Liberation Serif"/>
          <w:color w:val="000000"/>
          <w:sz w:val="24"/>
          <w:szCs w:val="24"/>
        </w:rPr>
        <w:t xml:space="preserve"> Российской Федерации,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r>
      <w:r/>
    </w:p>
    <w:p>
      <w:pPr>
        <w:pStyle w:val="68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ПОСТАНОВЛЯЮ: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r>
      <w:r/>
    </w:p>
    <w:p>
      <w:pPr>
        <w:pStyle w:val="688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eastAsia="Times New Roman" w:cs="Liberation Serif"/>
          <w:color w:val="000000"/>
          <w:sz w:val="24"/>
          <w:szCs w:val="24"/>
        </w:rPr>
        <w:t xml:space="preserve">     1.Утвердить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согласно приложению.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2.  Разместить настоящее постановление на официальном сайте администрации Тымского сельского поселения в информационно-телекоммуникационной сети Интернет.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3. Настоящее постановление вступает в силу со дня официального обнародования в порядке, предусмотренном Уставом муниципального образования «Тымское сельское поселение».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Глава Администрации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</w:rPr>
        <w:t xml:space="preserve">Тымского сельского поселения     </w:t>
        <w:tab/>
        <w:tab/>
        <w:tab/>
        <w:tab/>
        <w:t xml:space="preserve">                                        К.Ф. Важен</w:t>
      </w:r>
      <w:r>
        <w:rPr>
          <w:rFonts w:ascii="Liberation Serif" w:hAnsi="Liberation Serif" w:cs="Liberation Serif"/>
          <w:sz w:val="24"/>
          <w:szCs w:val="24"/>
        </w:rPr>
        <w:t xml:space="preserve">ин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  <w:u w:val="single"/>
        </w:rPr>
      </w:r>
      <w:r/>
    </w:p>
    <w:p>
      <w:pPr>
        <w:pStyle w:val="688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  <w:u w:val="single"/>
        </w:rPr>
      </w:r>
      <w:r/>
    </w:p>
    <w:p>
      <w:pPr>
        <w:pStyle w:val="688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r>
      <w:r/>
    </w:p>
    <w:p>
      <w:pPr>
        <w:pStyle w:val="688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/>
    </w:p>
    <w:p>
      <w:pPr>
        <w:contextualSpacing/>
        <w:ind w:left="5103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</w:t>
      </w:r>
      <w:r/>
    </w:p>
    <w:p>
      <w:pPr>
        <w:contextualSpacing/>
        <w:ind w:left="51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Тымского сельского поселения</w:t>
      </w:r>
      <w:r/>
    </w:p>
    <w:p>
      <w:pPr>
        <w:contextualSpacing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14.03.2025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14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Административный </w:t>
      </w:r>
      <w:hyperlink r:id="rId11" w:tooltip="consultantplus://offline/ref=EB55CE53385BC63473D1B42ABEF4C8B93C6FFF0E60F9C9B3A2BB96FB02127DD015BB1AB4A7ACAAA3378656a7w3L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регламент</w:t>
        </w:r>
      </w:hyperlink>
      <w:r/>
      <w:r/>
    </w:p>
    <w:p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</w:t>
      </w:r>
      <w:r/>
    </w:p>
    <w:p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ind w:left="0"/>
        <w:jc w:val="center"/>
      </w:pPr>
      <w:r>
        <w:t xml:space="preserve">1.Общие положения</w:t>
      </w:r>
      <w:r/>
    </w:p>
    <w:p>
      <w:pPr>
        <w:pStyle w:val="848"/>
        <w:ind w:left="0"/>
        <w:jc w:val="center"/>
      </w:pPr>
      <w:r/>
      <w:r/>
    </w:p>
    <w:p>
      <w:pPr>
        <w:pStyle w:val="848"/>
        <w:ind w:left="0"/>
        <w:jc w:val="center"/>
      </w:pPr>
      <w:r>
        <w:rPr>
          <w:bCs/>
        </w:rPr>
        <w:t xml:space="preserve">Предмет регулирования Административного регламента</w:t>
      </w:r>
      <w:r/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1.1.Настоящий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дминистративный регламент предоставления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 услуги (далее – Административный регламент)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устанавливает стандарт и порядок предоставления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–муниципальная услуга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услуга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администрацией Тымского сельского поселения (далее – уполномоченный орган)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 регулирует отношения, возникающие в связи с 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40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Круг Заявителей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1.2.Заявителями на получение муниципальной услуги являются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правообладатели земельных участков, размеры которых меньше установленных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градостроительным регламентом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минимальных размеров земельных участков либо конфигурация, инженерно-геологические или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иные характеристики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которых неблагоприятны для застройки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физические, юридические лица и индивидуальные предприниматели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– заявитель) - 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(далее – представитель).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Требования к порядку информирования о предоставлении</w:t>
      </w:r>
      <w:r/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услуги осуществляется: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>
        <w:rPr>
          <w:rFonts w:ascii="Times New Roman" w:hAnsi="Times New Roman" w:cs="Times New Roman"/>
          <w:sz w:val="24"/>
          <w:szCs w:val="24"/>
        </w:rPr>
        <w:t xml:space="preserve">Комиссию по подготовке Правил землепользования и застройки Тымского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 xml:space="preserve">по телефону в уполномоченном органе местного самоуправления;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 xml:space="preserve">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размещения в открытой и доступной форме информации: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(функций)» (</w:t>
      </w:r>
      <w:r>
        <w:rPr>
          <w:rFonts w:ascii="Times New Roman" w:hAnsi="Times New Roman" w:cs="Times New Roman"/>
          <w:sz w:val="24"/>
          <w:szCs w:val="24"/>
        </w:rPr>
        <w:t xml:space="preserve">https://www.gosuslugi.ru/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Единый портал);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региональном портале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(функций), являющегося государственной информационной системой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портал);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https://tymskoe-r69.gosweb.gosuslugi.ru/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636751, Томская область, Каргасокский район, с. Тымск, улица Кедровая, дом 3б.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 (38253) 35-188.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понедельник-пятница с 09:00 до 17:00; приёмные дни: вторник, четверг с 10:00 до 12:00, с 14:00 до 16:00; суббота, воскресенье – выходные дни.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 вопросам, касающимся: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способов подачи заявления о </w:t>
      </w:r>
      <w:r>
        <w:rPr>
          <w:rFonts w:ascii="Times New Roman" w:hAnsi="Times New Roman" w:cs="Times New Roman"/>
          <w:sz w:val="24"/>
          <w:szCs w:val="24"/>
        </w:rPr>
        <w:t xml:space="preserve">получении муниципальной услуги (далее - заявление)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адресов уполномоченного органа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центров, обращение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необходимо для предоставления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о работе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рассмотрения заявления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предоставления муниципальной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лиц, и принимаемых ими решений при предоставлении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услуги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бесплатно.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При устном обращении заявителя (лично или по телефону) 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лицо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осуществляющего консультирование, подробно и в вежливой (корректной)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информирует обратившихся по интересующим вопросам.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наименовании органа, в который позвонил заявитель, фамилии, имени, отчества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звонок. Если должностное лицо уполномоченного органа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ответ, телефонный звонок должен быть переадресован (переведен) на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или же обратившемуся лицу должен быть сообщен 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заявителю один из следующих вариантов дальнейших действий: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 не вправе осуществлять информирование,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выходящее за рамки стандартных процедур и условий предоставления услуги,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влияющее прямо или косвенно на принимаемое решение.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в соответствии с графиком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По письменному обращению должностное лицо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разъясняет гражданину сведения по вопросам,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пункте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02.05.2006 №</w:t>
      </w:r>
      <w:r>
        <w:rPr>
          <w:rFonts w:ascii="Times New Roman" w:hAnsi="Times New Roman" w:cs="Times New Roman"/>
          <w:sz w:val="24"/>
          <w:szCs w:val="24"/>
        </w:rPr>
        <w:t xml:space="preserve">59-ФЗ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порядке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обращений граждан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и» (далее – Федеральный закон №</w:t>
      </w:r>
      <w:r>
        <w:rPr>
          <w:rFonts w:ascii="Times New Roman" w:hAnsi="Times New Roman" w:cs="Times New Roman"/>
          <w:sz w:val="24"/>
          <w:szCs w:val="24"/>
        </w:rPr>
        <w:t xml:space="preserve">59-ФЗ).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На Едином портале размещаются сведения,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федеральной государственной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«Федеральный реестр государственных и муниципальных услуг (функций)»,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Правительства Российской Федерации от 24</w:t>
      </w:r>
      <w:r>
        <w:rPr>
          <w:rFonts w:ascii="Times New Roman" w:hAnsi="Times New Roman" w:cs="Times New Roman"/>
          <w:sz w:val="24"/>
          <w:szCs w:val="24"/>
        </w:rPr>
        <w:t xml:space="preserve">.10.2011 года №</w:t>
      </w:r>
      <w:r>
        <w:rPr>
          <w:rFonts w:ascii="Times New Roman" w:hAnsi="Times New Roman" w:cs="Times New Roman"/>
          <w:sz w:val="24"/>
          <w:szCs w:val="24"/>
        </w:rPr>
        <w:t xml:space="preserve">861.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без выполнения заявителем каких-либо требований,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 использования программного обеспечения, установка которого на 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заявителя требует заключения лицензионного или иного соглашения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правообладателем программного обеспечения, предусматривающего взимание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платы, регистрацию или авторизацию </w:t>
      </w:r>
      <w:r>
        <w:rPr>
          <w:rFonts w:ascii="Times New Roman" w:hAnsi="Times New Roman" w:cs="Times New Roman"/>
          <w:sz w:val="24"/>
          <w:szCs w:val="24"/>
        </w:rPr>
        <w:t xml:space="preserve">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предоставление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1.9. На официальном сайте Уполномоченного органа, на информационных  стендах Уполномоченного органа   размещается следующая справочная информация: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4"/>
        </w:numPr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способы подачи заявлений о предоставлении муниципальной услуги;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4"/>
        </w:numPr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перечень документов, необходимых для предоставления муниципальной услуги;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4"/>
        </w:numPr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справочная информация (место нахождения, график работы, справочные  телефоны, адреса официального сайта и электронной почты уполномоченного  органа, обеспечивающего предоставление муниципальной услуги);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4"/>
        </w:numPr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перечень нормативных правовых актов, регулирующих предоставление муниципальной услуги;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4"/>
        </w:numPr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порядок досудебного (внесудебного) обжалования решений и действий  (бездействия) уполномоченного органа, а также его должностных лиц,  муниципальных служащих;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4"/>
        </w:numPr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порядок и сроки предоставления муниципальной услуги;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4"/>
        </w:numPr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порядок получения сведений о ходе рассмотрения заявления и о результатах предоставления муниципальной услуги;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4"/>
        </w:numPr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бланки заявлений о предоставлении муниципальной услуги и образцы их заполнения.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правовые акты, регулирующие порядок предоставления услуги,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регламент, которые по требованию заявителя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ему для ознакомления.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</w:t>
      </w:r>
      <w:r>
        <w:rPr>
          <w:rFonts w:ascii="Times New Roman" w:hAnsi="Times New Roman" w:cs="Times New Roman"/>
          <w:sz w:val="24"/>
          <w:szCs w:val="24"/>
        </w:rPr>
        <w:t xml:space="preserve">1.Информация о ходе рассмотрения заявления и о результатах предоставления услуги може</w:t>
      </w:r>
      <w:r>
        <w:rPr>
          <w:rFonts w:ascii="Times New Roman" w:hAnsi="Times New Roman" w:cs="Times New Roman"/>
          <w:sz w:val="24"/>
          <w:szCs w:val="24"/>
        </w:rPr>
        <w:t xml:space="preserve">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.Стандарт предоставления муниципальной услуги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муниципальной услуги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2.1.Наименование муниципальной услуги –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органа местного самоуправления, предоставляющего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муниципальную услугу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Тымского сельского поселения.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муниципальной услуги осуществляется администрацией сельского поселения при участии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Правил землепользов</w:t>
      </w:r>
      <w:r>
        <w:rPr>
          <w:rFonts w:ascii="Times New Roman" w:hAnsi="Times New Roman" w:cs="Times New Roman"/>
          <w:sz w:val="24"/>
          <w:szCs w:val="24"/>
        </w:rPr>
        <w:t xml:space="preserve">ания и застройки Тымского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Комиссии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Нормативные правовые акты, регулирующие предоставление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</w:t>
      </w:r>
      <w:r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(</w:t>
      </w:r>
      <w:r>
        <w:rPr>
          <w:rFonts w:ascii="Times New Roman" w:hAnsi="Times New Roman" w:cs="Times New Roman"/>
          <w:sz w:val="24"/>
          <w:szCs w:val="24"/>
        </w:rPr>
        <w:t xml:space="preserve">размещается в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):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2" w:tooltip="garantF1://12024624.0" w:history="1">
        <w:r>
          <w:rPr>
            <w:rFonts w:ascii="Times New Roman" w:hAnsi="Times New Roman" w:cs="Times New Roman"/>
            <w:sz w:val="24"/>
            <w:szCs w:val="24"/>
          </w:rPr>
          <w:t xml:space="preserve">Земельны</w:t>
        </w:r>
        <w:r>
          <w:rPr>
            <w:rFonts w:ascii="Times New Roman" w:hAnsi="Times New Roman" w:cs="Times New Roman"/>
            <w:sz w:val="24"/>
            <w:szCs w:val="24"/>
          </w:rPr>
          <w:t xml:space="preserve">й</w:t>
        </w:r>
        <w:r>
          <w:rPr>
            <w:rFonts w:ascii="Times New Roman" w:hAnsi="Times New Roman" w:cs="Times New Roman"/>
            <w:sz w:val="24"/>
            <w:szCs w:val="24"/>
          </w:rPr>
          <w:t xml:space="preserve"> 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3" w:tooltip="garantF1://12038258.0" w:history="1">
        <w:r>
          <w:rPr>
            <w:rFonts w:ascii="Times New Roman" w:hAnsi="Times New Roman" w:cs="Times New Roman"/>
            <w:sz w:val="24"/>
            <w:szCs w:val="24"/>
          </w:rPr>
          <w:t xml:space="preserve">Градостроительны</w:t>
        </w:r>
        <w:r>
          <w:rPr>
            <w:rFonts w:ascii="Times New Roman" w:hAnsi="Times New Roman" w:cs="Times New Roman"/>
            <w:sz w:val="24"/>
            <w:szCs w:val="24"/>
          </w:rPr>
          <w:t xml:space="preserve">й</w:t>
        </w:r>
        <w:r>
          <w:rPr>
            <w:rFonts w:ascii="Times New Roman" w:hAnsi="Times New Roman" w:cs="Times New Roman"/>
            <w:sz w:val="24"/>
            <w:szCs w:val="24"/>
          </w:rPr>
          <w:t xml:space="preserve"> 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4" w:tooltip="garantF1://86367.0" w:history="1">
        <w:r>
          <w:rPr>
            <w:rFonts w:ascii="Times New Roman" w:hAnsi="Times New Roman" w:cs="Times New Roman"/>
            <w:sz w:val="24"/>
            <w:szCs w:val="24"/>
          </w:rPr>
          <w:t xml:space="preserve">Федеральны</w:t>
        </w:r>
        <w:r>
          <w:rPr>
            <w:rFonts w:ascii="Times New Roman" w:hAnsi="Times New Roman" w:cs="Times New Roman"/>
            <w:sz w:val="24"/>
            <w:szCs w:val="24"/>
          </w:rPr>
          <w:t xml:space="preserve">й</w:t>
        </w:r>
        <w:r>
          <w:rPr>
            <w:rFonts w:ascii="Times New Roman" w:hAnsi="Times New Roman" w:cs="Times New Roman"/>
            <w:sz w:val="24"/>
            <w:szCs w:val="24"/>
          </w:rPr>
          <w:t xml:space="preserve"> 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закон от 29.12.2004 №191-ФЗ «О введении в действие Градостроительного кодекса Российской Федерации»;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5" w:tooltip="garantF1://12077515.0" w:history="1">
        <w:r>
          <w:rPr>
            <w:rFonts w:ascii="Times New Roman" w:hAnsi="Times New Roman" w:cs="Times New Roman"/>
            <w:sz w:val="24"/>
            <w:szCs w:val="24"/>
          </w:rPr>
          <w:t xml:space="preserve">Федеральны</w:t>
        </w:r>
        <w:r>
          <w:rPr>
            <w:rFonts w:ascii="Times New Roman" w:hAnsi="Times New Roman" w:cs="Times New Roman"/>
            <w:sz w:val="24"/>
            <w:szCs w:val="24"/>
          </w:rPr>
          <w:t xml:space="preserve">й</w:t>
        </w:r>
        <w:r>
          <w:rPr>
            <w:rFonts w:ascii="Times New Roman" w:hAnsi="Times New Roman" w:cs="Times New Roman"/>
            <w:sz w:val="24"/>
            <w:szCs w:val="24"/>
          </w:rPr>
          <w:t xml:space="preserve"> 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</w:t>
      </w:r>
      <w:r>
        <w:rPr>
          <w:rFonts w:ascii="Times New Roman" w:hAnsi="Times New Roman" w:cs="Times New Roman"/>
          <w:sz w:val="24"/>
          <w:szCs w:val="24"/>
        </w:rPr>
        <w:t xml:space="preserve">й закон</w:t>
      </w:r>
      <w:r>
        <w:rPr>
          <w:rFonts w:ascii="Times New Roman" w:hAnsi="Times New Roman" w:cs="Times New Roman"/>
          <w:sz w:val="24"/>
          <w:szCs w:val="24"/>
        </w:rPr>
        <w:t xml:space="preserve"> от 06.04.2011 №63-ФЗ «Об электронной подписи»;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</w:t>
      </w:r>
      <w:r>
        <w:rPr>
          <w:rFonts w:ascii="Times New Roman" w:hAnsi="Times New Roman" w:cs="Times New Roman"/>
          <w:sz w:val="24"/>
          <w:szCs w:val="24"/>
        </w:rPr>
        <w:t xml:space="preserve"> МО «Тымское сельское поселение»;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Тымского сельского поселения «О Правилах землепользования и застройки Тымского сельского поселения»;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административным регламентом.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Исчерпывающий перечень документов и сведений, необходимых 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соответствии с нормативными правовыми актами для предоставления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 и услуг, которые являются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необходимыми и обязательными для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услуги, подлежащих представлению заявителем, способы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их получения заявителем, в том числе в электронной форме, порядок их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представления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</w:t>
      </w:r>
      <w:r>
        <w:rPr>
          <w:rFonts w:ascii="Times New Roman" w:hAnsi="Times New Roman" w:cs="Times New Roman"/>
          <w:sz w:val="24"/>
          <w:szCs w:val="24"/>
        </w:rPr>
        <w:t xml:space="preserve">Прием заявления</w:t>
      </w:r>
      <w:r>
        <w:rPr>
          <w:rFonts w:ascii="Times New Roman" w:hAnsi="Times New Roman" w:cs="Times New Roman"/>
          <w:sz w:val="24"/>
          <w:szCs w:val="24"/>
        </w:rPr>
        <w:t xml:space="preserve">,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указанны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в подпунктах </w:t>
      </w:r>
      <w:r>
        <w:rPr>
          <w:rFonts w:ascii="Times New Roman" w:hAnsi="Times New Roman" w:cs="Times New Roman"/>
          <w:sz w:val="24"/>
          <w:szCs w:val="24"/>
        </w:rPr>
        <w:t xml:space="preserve">«б» - «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пункта 2.8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1 к настоящему Административному регламенту,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о порядке и ходе предоставления услуги и выдача разрешения могут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а)на</w:t>
      </w:r>
      <w:r>
        <w:rPr>
          <w:rFonts w:ascii="Times New Roman" w:hAnsi="Times New Roman" w:cs="Times New Roman"/>
          <w:sz w:val="24"/>
          <w:szCs w:val="24"/>
        </w:rPr>
        <w:t xml:space="preserve"> бумажном носителе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в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заключенным в соответствии с постановлением Правительства Российской Федерации от 27.09.2011 №797 «О взаимодействии между многофункциональн</w:t>
      </w:r>
      <w:r>
        <w:rPr>
          <w:rFonts w:ascii="Times New Roman" w:hAnsi="Times New Roman" w:cs="Times New Roman"/>
          <w:sz w:val="24"/>
          <w:szCs w:val="24"/>
        </w:rPr>
        <w:t xml:space="preserve">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форме посредством федеральной государственной информационной системы «Единый портал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(функций)»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и прилагаемых к нему документов указанным способом заявитель или его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</w:t>
      </w:r>
      <w:r>
        <w:rPr>
          <w:rFonts w:ascii="Times New Roman" w:hAnsi="Times New Roman" w:cs="Times New Roman"/>
          <w:sz w:val="24"/>
          <w:szCs w:val="24"/>
        </w:rPr>
        <w:t xml:space="preserve">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</w:t>
      </w:r>
      <w:r>
        <w:rPr>
          <w:rFonts w:ascii="Times New Roman" w:hAnsi="Times New Roman" w:cs="Times New Roman"/>
          <w:sz w:val="24"/>
          <w:szCs w:val="24"/>
        </w:rPr>
        <w:t xml:space="preserve">«б» - «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пункта 2.8 настоящего Административного регламента. Заявление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</w:t>
      </w:r>
      <w:r>
        <w:rPr>
          <w:rFonts w:ascii="Times New Roman" w:hAnsi="Times New Roman" w:cs="Times New Roman"/>
          <w:sz w:val="24"/>
          <w:szCs w:val="24"/>
        </w:rPr>
        <w:t xml:space="preserve">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</w:t>
      </w:r>
      <w:r>
        <w:rPr>
          <w:rFonts w:ascii="Times New Roman" w:hAnsi="Times New Roman" w:cs="Times New Roman"/>
          <w:sz w:val="24"/>
          <w:szCs w:val="24"/>
        </w:rPr>
        <w:t xml:space="preserve">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</w:t>
      </w:r>
      <w:r>
        <w:rPr>
          <w:rFonts w:ascii="Times New Roman" w:hAnsi="Times New Roman" w:cs="Times New Roman"/>
          <w:sz w:val="24"/>
          <w:szCs w:val="24"/>
        </w:rPr>
        <w:t xml:space="preserve">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утверждёнными постановлением Правительства Российской Федерации от 25.01.2013 №33 «Об использовании простой эл</w:t>
      </w:r>
      <w:r>
        <w:rPr>
          <w:rFonts w:ascii="Times New Roman" w:hAnsi="Times New Roman" w:cs="Times New Roman"/>
          <w:sz w:val="24"/>
          <w:szCs w:val="24"/>
        </w:rPr>
        <w:t xml:space="preserve">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2.4.1.Предоставление муниципальной услуги в упреждающем (</w:t>
      </w:r>
      <w:r>
        <w:rPr>
          <w:rFonts w:ascii="Times New Roman" w:hAnsi="Times New Roman"/>
          <w:bCs/>
          <w:sz w:val="24"/>
          <w:szCs w:val="24"/>
        </w:rPr>
        <w:t xml:space="preserve">проактивном</w:t>
      </w:r>
      <w:r>
        <w:rPr>
          <w:rFonts w:ascii="Times New Roman" w:hAnsi="Times New Roman"/>
          <w:bCs/>
          <w:sz w:val="24"/>
          <w:szCs w:val="24"/>
        </w:rPr>
        <w:t xml:space="preserve">) режиме не предусмотрено.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Иные требования, в том числе учитывающие особенности предоставления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в многофункциональных центрах,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2.5.Документы, прилагаемые заявителем, представляемые в электронной форме, направляются в следующих форматах: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xml</w:t>
      </w:r>
      <w:r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4"/>
          <w:szCs w:val="24"/>
        </w:rPr>
        <w:t xml:space="preserve">xml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</w:t>
      </w:r>
      <w:r>
        <w:rPr>
          <w:rFonts w:ascii="Times New Roman" w:hAnsi="Times New Roman" w:cs="Times New Roman"/>
          <w:sz w:val="24"/>
          <w:szCs w:val="24"/>
        </w:rPr>
        <w:t xml:space="preserve">doc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docx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odt</w:t>
      </w:r>
      <w:r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</w:t>
      </w:r>
      <w:r>
        <w:rPr>
          <w:rFonts w:ascii="Times New Roman" w:hAnsi="Times New Roman" w:cs="Times New Roman"/>
          <w:sz w:val="24"/>
          <w:szCs w:val="24"/>
        </w:rPr>
        <w:t xml:space="preserve">xls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xlsx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ods</w:t>
      </w:r>
      <w:r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</w:t>
      </w:r>
      <w:r>
        <w:rPr>
          <w:rFonts w:ascii="Times New Roman" w:hAnsi="Times New Roman" w:cs="Times New Roman"/>
          <w:sz w:val="24"/>
          <w:szCs w:val="24"/>
        </w:rPr>
        <w:t xml:space="preserve">pdf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jpg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jpeg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tiff</w:t>
      </w:r>
      <w:r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</w:t>
      </w:r>
      <w:r>
        <w:rPr>
          <w:rFonts w:ascii="Times New Roman" w:hAnsi="Times New Roman" w:cs="Times New Roman"/>
          <w:sz w:val="24"/>
          <w:szCs w:val="24"/>
        </w:rPr>
        <w:t xml:space="preserve">zip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rar</w:t>
      </w:r>
      <w:r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ig</w:t>
      </w:r>
      <w:r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2.6.В случае, если оригиналы документов, прилагаемых к заявлению, выданы и подписаны уполномоченным органом на бумажном носителе, допуска</w:t>
      </w:r>
      <w:r>
        <w:rPr>
          <w:rFonts w:ascii="Times New Roman" w:hAnsi="Times New Roman" w:cs="Times New Roman"/>
          <w:sz w:val="24"/>
          <w:szCs w:val="24"/>
        </w:rPr>
        <w:t xml:space="preserve">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hAnsi="Times New Roman" w:cs="Times New Roman"/>
          <w:sz w:val="24"/>
          <w:szCs w:val="24"/>
        </w:rPr>
        <w:t xml:space="preserve">dpi</w:t>
      </w:r>
      <w:r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2.7.Документы, прилагаемые заявителем к заявлению, представляемые в электронной форме, должны обеспечивать: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идентифицировать документ и количество листов в документе;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</w:t>
      </w:r>
      <w:r>
        <w:rPr>
          <w:rFonts w:ascii="Times New Roman" w:hAnsi="Times New Roman" w:cs="Times New Roman"/>
          <w:sz w:val="24"/>
          <w:szCs w:val="24"/>
        </w:rPr>
        <w:t xml:space="preserve">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r>
        <w:rPr>
          <w:rFonts w:ascii="Times New Roman" w:hAnsi="Times New Roman" w:cs="Times New Roman"/>
          <w:sz w:val="24"/>
          <w:szCs w:val="24"/>
        </w:rPr>
        <w:t xml:space="preserve">xls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xlsx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ods</w:t>
      </w:r>
      <w:r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документа, представляемого в электронной форме.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2.8.Исчерпывающий перечень документов, необходимых для предоставления услуги, подлежащих представлению заявителем самостоятельно: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редоставлени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разрешения на отклонение от предельных параметров разрешенного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строительства, реконструкции объект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. В случае представления заявлени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Единого портала, регионального портала в соответствии с подпунктом «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»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Liberation Serif" w:hAnsi="Liberation Serif" w:cs="Liberation Serif"/>
          <w:sz w:val="24"/>
          <w:szCs w:val="24"/>
        </w:rPr>
        <w:t xml:space="preserve">б)в целях предоставления муниципальной услуги установление личности  заявителя может осуществляться в ходе личного приема посредством  предъявления паспорта гражданина Российской Федерации либо иного  документа, удостоверяющего личность, в соответствии с з</w:t>
      </w:r>
      <w:r>
        <w:rPr>
          <w:rFonts w:ascii="Liberation Serif" w:hAnsi="Liberation Serif" w:cs="Liberation Serif"/>
          <w:sz w:val="24"/>
          <w:szCs w:val="24"/>
        </w:rPr>
        <w:t xml:space="preserve">аконодательством  Российской Федерации или посредством идентификации и аутентификации в  органах, предоставляющих государственные услуги, органах,  предоставляющих муниципальные услуги, многофункциональных центрах с  использованием информационных технологи</w:t>
      </w:r>
      <w:r>
        <w:rPr>
          <w:rFonts w:ascii="Liberation Serif" w:hAnsi="Liberation Serif" w:cs="Liberation Serif"/>
          <w:sz w:val="24"/>
          <w:szCs w:val="24"/>
        </w:rPr>
        <w:t xml:space="preserve">й;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в)документ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подтверждающий полномочия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«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» пункта 2.4 настоящего Административного регламента указанный документ, выданный заявителем, являющимся юридическим лицом, удостоверяется усиленной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подписью нотариуса.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пунктов 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5 части 1</w:t>
      </w:r>
      <w:r>
        <w:rPr>
          <w:rFonts w:ascii="Times New Roman" w:hAnsi="Times New Roman" w:cs="Times New Roman"/>
          <w:sz w:val="24"/>
          <w:szCs w:val="24"/>
        </w:rPr>
        <w:t xml:space="preserve"> статьи 7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210-ФЗ запрещается требовать от заявителя (представителя заявителя):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</w:t>
      </w:r>
      <w:r>
        <w:rPr>
          <w:rFonts w:ascii="Times New Roman" w:hAnsi="Times New Roman" w:cs="Times New Roman"/>
          <w:sz w:val="24"/>
          <w:szCs w:val="24"/>
        </w:rPr>
        <w:t xml:space="preserve">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tooltip="consultantplus://offline/ref=8AC0BD87BAE8065E73106C10403CF92EA3E0BC20A3E9BE8576ACC955C7F87873269AA061642E2683nELBI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 статьи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</w:t>
      </w:r>
      <w:hyperlink r:id="rId17" w:tooltip="consultantplus://offline/ref=8AC0BD87BAE8065E73106C10403CF92EA3E0BC20A3E9BE8576ACC955C7F87873269AA064n6L7I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</w:t>
      </w:r>
      <w:r>
        <w:rPr>
          <w:rFonts w:ascii="Times New Roman" w:hAnsi="Times New Roman" w:cs="Times New Roman"/>
          <w:sz w:val="24"/>
          <w:szCs w:val="24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части 1 статьи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27.07.2010</w:t>
      </w:r>
      <w:r>
        <w:rPr>
          <w:rFonts w:ascii="Times New Roman" w:hAnsi="Times New Roman" w:cs="Times New Roman"/>
          <w:sz w:val="24"/>
          <w:szCs w:val="24"/>
        </w:rPr>
        <w:t xml:space="preserve"> №210-ФЗ «Об организации предоставления государственных и муниципальных услуг»;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</w:t>
      </w:r>
      <w:r>
        <w:rPr>
          <w:rFonts w:ascii="Times New Roman" w:hAnsi="Times New Roman" w:cs="Times New Roman"/>
          <w:sz w:val="24"/>
          <w:szCs w:val="24"/>
        </w:rPr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1" w:name="sub_7141"/>
      <w:r>
        <w:rPr>
          <w:rFonts w:ascii="Times New Roman" w:hAnsi="Times New Roman" w:cs="Times New Roman"/>
          <w:sz w:val="24"/>
          <w:szCs w:val="24"/>
        </w:rPr>
        <w:t xml:space="preserve">а)изменение</w:t>
      </w:r>
      <w:r>
        <w:rPr>
          <w:rFonts w:ascii="Times New Roman" w:hAnsi="Times New Roman" w:cs="Times New Roman"/>
          <w:sz w:val="24"/>
          <w:szCs w:val="24"/>
        </w:rPr>
        <w:t xml:space="preserve"> требований нормативных правовых актов, касающихся предоставления государственной или муниципальной услуги, после первоначальной подачи заявления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государственной или муниципальной услуги;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2" w:name="sub_7142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б)наличие</w:t>
      </w:r>
      <w:r>
        <w:rPr>
          <w:rFonts w:ascii="Times New Roman" w:hAnsi="Times New Roman" w:cs="Times New Roman"/>
          <w:sz w:val="24"/>
          <w:szCs w:val="24"/>
        </w:rPr>
        <w:t xml:space="preserve"> ошибок в заявлении о предоставлении государственной или муниципальной услуги и документах, поданных </w:t>
      </w:r>
      <w:r>
        <w:rPr>
          <w:rFonts w:ascii="Times New Roman" w:hAnsi="Times New Roman" w:cs="Times New Roman"/>
          <w:sz w:val="24"/>
          <w:szCs w:val="24"/>
        </w:rPr>
        <w:t xml:space="preserve">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3" w:name="sub_7143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в)истечение</w:t>
      </w:r>
      <w:r>
        <w:rPr>
          <w:rFonts w:ascii="Times New Roman" w:hAnsi="Times New Roman" w:cs="Times New Roman"/>
          <w:sz w:val="24"/>
          <w:szCs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  <w:bookmarkEnd w:id="3"/>
      <w:r/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г)выявление документально подтвержденного факта (признаков) ошибочного или противоправного действия (</w:t>
      </w:r>
      <w:r>
        <w:rPr>
          <w:rFonts w:ascii="Times New Roman" w:hAnsi="Times New Roman" w:cs="Times New Roman"/>
          <w:sz w:val="24"/>
          <w:szCs w:val="24"/>
        </w:rPr>
        <w:t xml:space="preserve">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w:tooltip="#sub_16011" w:anchor="sub_16011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27.07.2010</w:t>
      </w:r>
      <w:r>
        <w:rPr>
          <w:rFonts w:ascii="Times New Roman" w:hAnsi="Times New Roman" w:cs="Times New Roman"/>
          <w:sz w:val="24"/>
          <w:szCs w:val="24"/>
        </w:rPr>
        <w:t xml:space="preserve"> №210-ФЗ «Об организации предоставления государственных и муниципальных услуг», при первоначальном отказе в приеме документов, нео</w:t>
      </w:r>
      <w:r>
        <w:rPr>
          <w:rFonts w:ascii="Times New Roman" w:hAnsi="Times New Roman" w:cs="Times New Roman"/>
          <w:sz w:val="24"/>
          <w:szCs w:val="24"/>
        </w:rPr>
        <w:t xml:space="preserve">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27.07.2010</w:t>
      </w:r>
      <w:r>
        <w:rPr>
          <w:rFonts w:ascii="Times New Roman" w:hAnsi="Times New Roman" w:cs="Times New Roman"/>
          <w:sz w:val="24"/>
          <w:szCs w:val="24"/>
        </w:rPr>
        <w:t xml:space="preserve">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https://mobileonline.garant.ru/#/document/12177515/entry/16172" w:anchor="/document/12177515/entry/16172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7.2 части 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Исчерпывающий перечень документов и сведений, необходимых 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соответствии с нормативными правовыми актами для предоставления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услуги, которые находятся 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распоряжении государственных органов, органов местного самоуправления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иных органов, участвующих в предоставлении муниципальн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.Исчерпывающий перечень необходимых для предоставления услуги документов (их копий или сведений, содержащиеся в них), которые запра</w:t>
      </w:r>
      <w:r>
        <w:rPr>
          <w:rFonts w:ascii="Times New Roman" w:hAnsi="Times New Roman" w:cs="Times New Roman"/>
          <w:sz w:val="24"/>
          <w:szCs w:val="24"/>
        </w:rPr>
        <w:t xml:space="preserve">шиваются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, организацие</w:t>
      </w:r>
      <w:r>
        <w:rPr>
          <w:rFonts w:ascii="Times New Roman" w:hAnsi="Times New Roman" w:cs="Times New Roman"/>
          <w:sz w:val="24"/>
          <w:szCs w:val="24"/>
        </w:rPr>
        <w:t xml:space="preserve">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.Документы, указанные в пункте 2.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направляются заявителем самостоятельно, 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права на</w:t>
      </w:r>
      <w:r>
        <w:rPr>
          <w:rFonts w:ascii="Times New Roman" w:hAnsi="Times New Roman" w:cs="Times New Roman"/>
          <w:sz w:val="24"/>
          <w:szCs w:val="24"/>
        </w:rPr>
        <w:t xml:space="preserve"> них</w:t>
      </w:r>
      <w:r>
        <w:rPr>
          <w:rFonts w:ascii="Times New Roman" w:hAnsi="Times New Roman" w:cs="Times New Roman"/>
          <w:sz w:val="24"/>
          <w:szCs w:val="24"/>
        </w:rPr>
        <w:t xml:space="preserve"> не зарегистрированы в Едином государственном 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Срок и порядок регистрации запроса заявителя о предоставлении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услуги, в том числе в электронной форме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.Регистрация </w:t>
      </w:r>
      <w:r>
        <w:rPr>
          <w:rFonts w:ascii="Times New Roman" w:hAnsi="Times New Roman" w:cs="Times New Roman"/>
          <w:sz w:val="24"/>
          <w:szCs w:val="24"/>
        </w:rPr>
        <w:t xml:space="preserve">заявлени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представленного заявителем указанными в пункте 2.4 настоящего Административного регламента способами в уполномоченный орган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заявлени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Единого портала, регионального портала или единой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нформационной системы жилищного строительства вне рабочего времени уполномоченного органа либо в выходной, нерабочий праздничный день днем поступления заявления считается первый рабочий день, следующий за днем представления заявителем указанного заявления.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 с учетом необходимости обращения в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участвующие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срок приостановления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срок выдачи (направления) документов, являющихся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превышать </w:t>
      </w:r>
      <w:r>
        <w:rPr>
          <w:rFonts w:ascii="Times New Roman" w:hAnsi="Times New Roman" w:cs="Times New Roman"/>
          <w:sz w:val="24"/>
          <w:szCs w:val="24"/>
        </w:rPr>
        <w:t xml:space="preserve">75</w:t>
      </w:r>
      <w:r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общий срок предоставления муниципальной услуги входит срок формирования и направления межведомственны</w:t>
      </w:r>
      <w:r>
        <w:rPr>
          <w:rFonts w:ascii="Times New Roman" w:hAnsi="Times New Roman" w:cs="Times New Roman"/>
          <w:sz w:val="24"/>
          <w:szCs w:val="24"/>
        </w:rPr>
        <w:t xml:space="preserve">х запросов в органы, участвующие в предоставлении муниципальной услуги, и получения на них ответов; проведение общественных обсуждений или публичных слушаний; срок выдачи (направления) документов, являющихся результатом предоставления муниципальной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Исчисление срока предоставления муниципальной услуги при обращении заявителя за получением муниципальной услуги в </w:t>
      </w:r>
      <w:r>
        <w:rPr>
          <w:rFonts w:ascii="Times New Roman" w:hAnsi="Times New Roman" w:cs="Times New Roman"/>
          <w:sz w:val="24"/>
          <w:szCs w:val="24"/>
        </w:rPr>
        <w:t xml:space="preserve">МФЦ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со дня поступления заявления в уполномоченный орган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2.14.1.В случае, установленном частью 1.1. статьи 40 Градостроительного кодекса Российской Федерации, срок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превышать </w:t>
      </w:r>
      <w:r>
        <w:rPr>
          <w:rFonts w:ascii="Times New Roman" w:hAnsi="Times New Roman" w:cs="Times New Roman"/>
          <w:sz w:val="24"/>
          <w:szCs w:val="24"/>
        </w:rPr>
        <w:t xml:space="preserve">45</w:t>
      </w:r>
      <w:r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Исчерпывающий перечень оснований для приостановления или отказа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предоставлении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2.15.Оснований для приостановления предоставления услуги не предусмотрено законодательством Российской Федерации.</w:t>
      </w:r>
      <w:r/>
    </w:p>
    <w:p>
      <w:pPr>
        <w:ind w:firstLine="709"/>
        <w:jc w:val="both"/>
        <w:spacing w:after="0" w:line="240" w:lineRule="auto"/>
        <w:tabs>
          <w:tab w:val="left" w:pos="24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пунктом </w:t>
      </w:r>
      <w:r>
        <w:rPr>
          <w:rFonts w:ascii="Times New Roman" w:hAnsi="Times New Roman" w:cs="Times New Roman"/>
          <w:sz w:val="24"/>
          <w:szCs w:val="24"/>
        </w:rPr>
        <w:t xml:space="preserve">2.2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Исчерпывающий перечень оснований для отказа в приеме документов,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необходимых для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16.</w:t>
      </w:r>
      <w:r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или сведения утратили силу на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обращения за услугой (сведения документа, удостоверяющий личность;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удостоверяющий полномочия представителя Заявителя, в случае обращения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предоставлением услуги указанным лицом);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2)представление неполного комплекта документов,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подлежащих обязательному представлению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заявителем;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документы, содержат недостоверные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противоречивые сведения, подчистки, исправления, повреждения,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позволяющие однозначно истолковать их содержание, а также не заверенные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порядке, установленном законодательством Российской Федерации;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4)подача заявления (запроса) от имени заявителя не уполномоченным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лицом;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</w:t>
      </w: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услуги подано в орган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власти, орган местного самоуправления или организацию, в полномочия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входит предоставление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</w:t>
      </w:r>
      <w:r>
        <w:rPr>
          <w:rFonts w:ascii="Times New Roman" w:hAnsi="Times New Roman" w:cs="Times New Roman"/>
          <w:sz w:val="24"/>
          <w:szCs w:val="24"/>
        </w:rPr>
        <w:t xml:space="preserve">неполное, некорректное заполнение полей в форме заявления,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 в интерактивной форме заявления на Региональном портале,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портале;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</w:t>
      </w:r>
      <w:r>
        <w:rPr>
          <w:rFonts w:ascii="Times New Roman" w:hAnsi="Times New Roman" w:cs="Times New Roman"/>
          <w:sz w:val="24"/>
          <w:szCs w:val="24"/>
        </w:rPr>
        <w:t xml:space="preserve">электронные документы не соответствуют требованиям к форматам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предоставления и (или) не читаются;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</w:t>
      </w:r>
      <w:r>
        <w:rPr>
          <w:rFonts w:ascii="Times New Roman" w:hAnsi="Times New Roman" w:cs="Times New Roman"/>
          <w:sz w:val="24"/>
          <w:szCs w:val="24"/>
        </w:rPr>
        <w:t xml:space="preserve">несоблюдение установленных с</w:t>
      </w:r>
      <w:r>
        <w:rPr>
          <w:rFonts w:ascii="Times New Roman" w:hAnsi="Times New Roman" w:cs="Times New Roman"/>
          <w:sz w:val="24"/>
          <w:szCs w:val="24"/>
        </w:rPr>
        <w:t xml:space="preserve">татьей 11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63-ФЗ условий признания действительности, усиленной 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подписи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</w:t>
      </w: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оформляется по форме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</w:t>
      </w: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направляется заявителю способом,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определенным заявителем в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аявлени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, не позднее рабочего дня, следующего за днем получения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заявления, либо выдается в день личного обращения за получением 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в многофункциональный центр, выбранный при подаче заявления,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орган.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2.19.Отказ в приеме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не препятствует повторному обращению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в уполномоченный орган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получением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Описание результата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2.20.Результатом предоставления услуги является: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параметров разрешенного строительства, реконструкции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(</w:t>
      </w:r>
      <w:r>
        <w:rPr>
          <w:rFonts w:ascii="Times New Roman" w:hAnsi="Times New Roman" w:cs="Times New Roman"/>
          <w:sz w:val="24"/>
          <w:szCs w:val="24"/>
        </w:rPr>
        <w:t xml:space="preserve">в форме постановления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2)решение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в форме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2.21.Исчерпывающий перечень оснований для отказа в предоставлении муниципальной услуги: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1)несоответствие испрашиваемого отклонения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регламентов;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отсутствие у Заявителя прав на земельный участок, расположенный в пределах границ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зоны, обозначенной на карте градостроительного зонирования,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равилами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Тымского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несоответствие вида разрешенного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градостроительному регламенту,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установленному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равилами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территории 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режиму использования земель и градостроительному регламенту,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установленному в границах зон охраны объектов культурного наследия,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утвержденных проектом зон охраны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федерального, регионального или местного значения;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запрашиваемое Заявителем разрешение на 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параметров не соответствует утвержденной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</w:t>
      </w:r>
      <w:r>
        <w:rPr>
          <w:rFonts w:ascii="Times New Roman" w:hAnsi="Times New Roman" w:cs="Times New Roman"/>
          <w:sz w:val="24"/>
          <w:szCs w:val="24"/>
        </w:rPr>
        <w:t xml:space="preserve">тории;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запрашиваемое отклонение не соответствует ограничениям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объектов недвижимости, установленным на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территории (при наличии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приаэродромные</w:t>
      </w:r>
      <w:r>
        <w:rPr>
          <w:rFonts w:ascii="Times New Roman" w:hAnsi="Times New Roman" w:cs="Times New Roman"/>
          <w:sz w:val="24"/>
          <w:szCs w:val="24"/>
        </w:rPr>
        <w:t xml:space="preserve"> территории);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</w:t>
      </w:r>
      <w:r>
        <w:rPr>
          <w:rFonts w:ascii="Times New Roman" w:hAnsi="Times New Roman" w:cs="Times New Roman"/>
          <w:sz w:val="24"/>
          <w:szCs w:val="24"/>
        </w:rPr>
        <w:t xml:space="preserve">запрашиваемое разрешение 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поступило уведомление о выявлении самовольной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постройки от исполнительного органа государственной власти,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лица, государственного учреждения или органа местного самоуправления;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</w:t>
      </w:r>
      <w:r>
        <w:rPr>
          <w:rFonts w:ascii="Times New Roman" w:hAnsi="Times New Roman" w:cs="Times New Roman"/>
          <w:sz w:val="24"/>
          <w:szCs w:val="24"/>
        </w:rPr>
        <w:t xml:space="preserve">запрошено разрешение 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в части предельного количества этажей, предельной высоты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зданий, строений, сооружений и требований к архитектурным решениям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 границах территорий исторических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или регионального значения;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11)поступление от органов государственной власти, должностного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или органа местного самоуправления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выявлении самовольной постройки в отношении земельного участка,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котором расположена такая постройка, или в отношении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строительства, являющегося такой постройкой.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.Результат предоставления услуги, указанный в пункте 2.20 настоящего Административного регламента: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</w:t>
      </w:r>
      <w:r>
        <w:rPr>
          <w:rFonts w:ascii="Times New Roman" w:hAnsi="Times New Roman" w:cs="Times New Roman"/>
          <w:sz w:val="24"/>
          <w:szCs w:val="24"/>
        </w:rPr>
        <w:t xml:space="preserve">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если это указано в заявлении о предоставлении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</w:t>
      </w:r>
      <w:r>
        <w:rPr>
          <w:rFonts w:ascii="Times New Roman" w:hAnsi="Times New Roman" w:cs="Times New Roman"/>
          <w:sz w:val="24"/>
          <w:szCs w:val="24"/>
        </w:rPr>
        <w:t xml:space="preserve">бращении в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или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иной платы, взимаемой за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</w:t>
      </w:r>
      <w:r>
        <w:rPr>
          <w:rFonts w:ascii="Times New Roman" w:hAnsi="Times New Roman" w:cs="Times New Roman"/>
          <w:sz w:val="24"/>
          <w:szCs w:val="24"/>
        </w:rPr>
        <w:t xml:space="preserve">Взимание платы за предоставление муниципальной услуги законодательством не предусмотрено.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несет физическое или юридическое лицо, заинтересованное в предоставлении такого разрешения.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.Сведения о ходе рассмотрения заявления, представленного посредством Единого </w:t>
      </w:r>
      <w:r>
        <w:rPr>
          <w:rFonts w:ascii="Times New Roman" w:hAnsi="Times New Roman" w:cs="Times New Roman"/>
          <w:sz w:val="24"/>
          <w:szCs w:val="24"/>
        </w:rPr>
        <w:t xml:space="preserve">портала, регионального портала</w:t>
      </w:r>
      <w:r>
        <w:rPr>
          <w:rFonts w:ascii="Times New Roman" w:hAnsi="Times New Roman" w:cs="Times New Roman"/>
          <w:sz w:val="24"/>
          <w:szCs w:val="24"/>
        </w:rPr>
        <w:t xml:space="preserve">, доводятся до заявителя путем уведомления об изменении статуса заявления в личном кабинете заявителя на Едином портале, региональном портале.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</w:t>
      </w:r>
      <w:r>
        <w:rPr>
          <w:rFonts w:ascii="Times New Roman" w:hAnsi="Times New Roman" w:cs="Times New Roman"/>
          <w:sz w:val="24"/>
          <w:szCs w:val="24"/>
        </w:rPr>
        <w:t xml:space="preserve">дения о ходе рассмотрения заявления,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орган</w:t>
      </w:r>
      <w:r>
        <w:rPr>
          <w:rFonts w:ascii="Times New Roman" w:hAnsi="Times New Roman" w:cs="Times New Roman"/>
          <w:sz w:val="24"/>
          <w:szCs w:val="24"/>
        </w:rPr>
        <w:t xml:space="preserve">, многофункциональный центр) либо письменного запроса, </w:t>
      </w:r>
      <w:r>
        <w:rPr>
          <w:rFonts w:ascii="Times New Roman" w:hAnsi="Times New Roman" w:cs="Times New Roman"/>
          <w:sz w:val="24"/>
          <w:szCs w:val="24"/>
        </w:rPr>
        <w:t xml:space="preserve">составляемого в произвольной форме, без взимания платы. Письменный запрос может быть подан: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а)на</w:t>
      </w:r>
      <w:r>
        <w:rPr>
          <w:rFonts w:ascii="Times New Roman" w:hAnsi="Times New Roman" w:cs="Times New Roman"/>
          <w:sz w:val="24"/>
          <w:szCs w:val="24"/>
        </w:rPr>
        <w:t xml:space="preserve"> бумажном носителе посредством личного обращения в уполномоченный орган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форме посредством электронной почты.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запроса сведени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о ходе рассмотрения заявления доводятся до заявителя в устной форме (при личном обращении либо по телефону в 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орган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Перечень услуг, которые являются необходимыми и обязательными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услуги, в том числе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о документе (документах), выдаваемом (выдаваемых)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организациями, участвующими в предоставлении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25.</w:t>
      </w:r>
      <w:r>
        <w:rPr>
          <w:rFonts w:ascii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отсутствуют.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Максимальный срок ожидания в очереди при подаче запроса о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 и при получении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результата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26.</w:t>
      </w:r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услуги и при получении результата предоставления услуги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уполномоченном органе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многофункциональном центре составляет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 15 минут.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Требования к помещениям, в которых предоставляется муниципальная услуга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27.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 заявлений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услуги, а также выдача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услуги, должно обеспечивать удобство для граждан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пешеходной доступности от остановок общественного транспорта.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передвигающихся на инвалидных колясках, вход в здание и помещения,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услуга, оборудуются пандусами, поручнями, тактильными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(контрастными) предупреждающими элементами, иными 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приспособлениями, позволяющими обеспечить беспрепятственный доступ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инвалидов,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 о социальной защите инвалидов.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табличкой (вывеской), содержащей информацию: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адрес;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услуга,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 правилам и нормативам.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услуга, оснащаются: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системой оповещения о возникновении чрезвычайной ситуации;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средствами оказания первой медицинской помощи;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туалетными комнатами для посетителей.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которых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 в помещении, а также информационными стендами.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 полужирным шрифтом.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принадлежностями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/>
          <w:sz w:val="24"/>
          <w:szCs w:val="24"/>
        </w:rPr>
        <w:t xml:space="preserve">бланк</w:t>
      </w:r>
      <w:r>
        <w:rPr>
          <w:rFonts w:ascii="Times New Roman" w:hAnsi="Times New Roman" w:eastAsia="Calibri"/>
          <w:sz w:val="24"/>
          <w:szCs w:val="24"/>
        </w:rPr>
        <w:t xml:space="preserve">ами</w:t>
      </w:r>
      <w:r>
        <w:rPr>
          <w:rFonts w:ascii="Times New Roman" w:hAnsi="Times New Roman" w:eastAsia="Calibri"/>
          <w:sz w:val="24"/>
          <w:szCs w:val="24"/>
        </w:rPr>
        <w:t xml:space="preserve"> заявлений о предоставлении муниципальной услуги и образц</w:t>
      </w:r>
      <w:r>
        <w:rPr>
          <w:rFonts w:ascii="Times New Roman" w:hAnsi="Times New Roman" w:eastAsia="Calibri"/>
          <w:sz w:val="24"/>
          <w:szCs w:val="24"/>
        </w:rPr>
        <w:t xml:space="preserve">ами</w:t>
      </w:r>
      <w:r>
        <w:rPr>
          <w:rFonts w:ascii="Times New Roman" w:hAnsi="Times New Roman" w:eastAsia="Calibri"/>
          <w:sz w:val="24"/>
          <w:szCs w:val="24"/>
        </w:rPr>
        <w:t xml:space="preserve"> их заполнения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стенды разме</w:t>
      </w:r>
      <w:r>
        <w:rPr>
          <w:rFonts w:ascii="Times New Roman" w:hAnsi="Times New Roman" w:cs="Times New Roman"/>
          <w:sz w:val="24"/>
          <w:szCs w:val="24"/>
        </w:rPr>
        <w:t xml:space="preserve">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Интернет размещается информация о порядке предоставления муниципальной услуги, а также информация, указанная в пункте 1</w:t>
      </w:r>
      <w:r>
        <w:rPr>
          <w:rFonts w:ascii="Times New Roman" w:hAnsi="Times New Roman" w:cs="Times New Roman"/>
          <w:sz w:val="24"/>
          <w:szCs w:val="24"/>
        </w:rPr>
        <w:t xml:space="preserve">.5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(вывесками) с указанием: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кабинета и наименования отдела;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ответственного лица за прием документов;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графика приема заявителей.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документов,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 оборудовано персональным компьютером с возможностью доступа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необходимым информационным базам данных, печатающим устройством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(принтером) и копирующим устройством.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табличку с указанием фамилии, имени, отчества (последнее - при наличии)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услуги инвалидам обеспечиваются: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котором предоставляется услуга;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расположены здания и помещения, в которых предоставляется услуга,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входа в такие объекты и выхода из них, посадки в транспортное средство и высадки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него, в том числе с использование кресла-коляски;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самостоятельного передвижения;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помещениям, в которых предоставляется услуга, и к услуге с учетом 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жизнедеятельности;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 знаками, выполненными рельефно-точечным шрифтом Брайля;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</w:t>
      </w:r>
      <w:r>
        <w:rPr>
          <w:rFonts w:ascii="Times New Roman" w:hAnsi="Times New Roman" w:cs="Times New Roman"/>
          <w:sz w:val="24"/>
          <w:szCs w:val="24"/>
        </w:rPr>
        <w:t xml:space="preserve">сурдопереводчика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тифлосурдопереводчика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ими государственных и муниципальных услуг наравне с другими лицами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Показатели доступности и качества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услуги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.Основными показателями доступности 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услуги в информационно-телекоммуникационных сетях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пользования (в том числе в сети «Интернет»), средствах массовой информации;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услуги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помощью Единого портала, регионального портала;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услуги,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 с использованием информационно-коммуникационных технологий.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29.</w:t>
      </w:r>
      <w:r>
        <w:rPr>
          <w:rFonts w:ascii="Times New Roman" w:hAnsi="Times New Roman" w:cs="Times New Roman"/>
          <w:sz w:val="24"/>
          <w:szCs w:val="24"/>
        </w:rPr>
        <w:t xml:space="preserve">Основными показателями качества предоставления услуги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услуги в соответствии со стандартом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предоставления, установленным настоящим Административным регламентом;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лицами, участвующими в предоставлении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действия (бездействие) сотрудников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некорректное (невнимательное) отношение к заявителям;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предоставлении услуги, по итогам рассмотрения которых вынесены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удовлетворении (частичном удовлетворении) требований заявителей.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Состав, последовательность и сроки выполнения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административных процедур (действий), требования к порядку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выполнения, в том числе особенности выполнения административных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процедур в электронной форме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Исчерпывающий перечень административных процедур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услуги включает в себя следующие административные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процедуры: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 xml:space="preserve">проверка документов и регистрация заявления;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взаимодействия»;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 xml:space="preserve">рас</w:t>
      </w:r>
      <w:r>
        <w:rPr>
          <w:rFonts w:ascii="Times New Roman" w:hAnsi="Times New Roman" w:cs="Times New Roman"/>
          <w:sz w:val="24"/>
          <w:szCs w:val="24"/>
        </w:rPr>
        <w:t xml:space="preserve">смотрение документов и сведений, 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и проведение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обсуждений;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принятие решения;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результата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</w:t>
      </w:r>
      <w:r>
        <w:rPr>
          <w:rFonts w:ascii="Times New Roman" w:hAnsi="Times New Roman" w:cs="Times New Roman"/>
          <w:sz w:val="24"/>
          <w:szCs w:val="24"/>
        </w:rPr>
        <w:t xml:space="preserve">едур представлено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Формы контроля за исполнением административного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регламента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Порядок осуществления текущего контроля за соблюдением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исполнением ответственными должностными лицами положений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регламента и иных нормативных правовых актов,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услуги, а также принятием ими решений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</w:t>
      </w:r>
      <w:r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на постоянной основе должностными лицами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уполномоченными на осуществление контроля за 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устная и письменная информация специалистов и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граждан, содержащие жалобы на решения, действия (бездействие)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Порядок и периодичность осуществления плановых и внеплановых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контроля за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полнотой и качеством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услуги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</w:t>
      </w:r>
      <w:r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услуги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плановых и внеплановых проверок.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</w:t>
      </w:r>
      <w:r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</w:t>
      </w:r>
      <w:r>
        <w:rPr>
          <w:rFonts w:ascii="Times New Roman" w:hAnsi="Times New Roman" w:cs="Times New Roman"/>
          <w:sz w:val="24"/>
          <w:szCs w:val="24"/>
        </w:rPr>
        <w:t xml:space="preserve">утверждаемых главой поселения</w:t>
      </w:r>
      <w:r>
        <w:rPr>
          <w:rFonts w:ascii="Times New Roman" w:hAnsi="Times New Roman" w:cs="Times New Roman"/>
          <w:sz w:val="24"/>
          <w:szCs w:val="24"/>
        </w:rPr>
        <w:t xml:space="preserve">, но не менее 1 раза в год</w:t>
      </w:r>
      <w:r>
        <w:rPr>
          <w:rFonts w:ascii="Times New Roman" w:hAnsi="Times New Roman" w:cs="Times New Roman"/>
          <w:sz w:val="24"/>
          <w:szCs w:val="24"/>
        </w:rPr>
        <w:t xml:space="preserve">. При плановой проверке полноты и качества предоставления услуги контролю подлежат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Административного регламента;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внеплановых проверок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Федерации, нормативных правовых актов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органов местного самоуправления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 на качество предоставления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Ответственность должностных лиц за решения и действия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(бездействие), принимаемые (осуществляемые) ими в ходе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актов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и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привлечение виновных лиц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в соответствии с законодательством Российской Федерации.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своевременность принятия решения о предоставлении (об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предоставлении)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закрепляется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регламентах в соответствии с требованиями законодательства.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Требования к порядку и формам контроля за предоставлением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услуги, в том числе со стороны граждан,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их объединений и организаций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в том числе о сроках завершения административных процедур (действий).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Должностные лица Уполномоченного органа принимают меры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способствующие совершению нарушений.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предложения.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Досудебный (внесудебный) порядок обжалования решений 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действий (бездействия) органа, предоставляющего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услугу, а также их должностных лиц,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</w:t>
      </w: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служащих, 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жалоба).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самоуправления, организации и уполномоченные на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жалобы лица, которым может быть направлена жалоба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заявителя в досудебном (внесудебном) порядке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</w:t>
      </w:r>
      <w:r>
        <w:rPr>
          <w:rFonts w:ascii="Times New Roman" w:hAnsi="Times New Roman" w:cs="Times New Roman"/>
          <w:sz w:val="24"/>
          <w:szCs w:val="24"/>
        </w:rPr>
        <w:t xml:space="preserve">Жалоба </w:t>
      </w:r>
      <w:r>
        <w:rPr>
          <w:rFonts w:ascii="Times New Roman" w:hAnsi="Times New Roman" w:cs="Times New Roman"/>
          <w:sz w:val="24"/>
          <w:szCs w:val="24"/>
        </w:rPr>
        <w:t xml:space="preserve">на решения, дейс</w:t>
      </w:r>
      <w:r>
        <w:rPr>
          <w:rFonts w:ascii="Times New Roman" w:hAnsi="Times New Roman" w:cs="Times New Roman"/>
          <w:sz w:val="24"/>
          <w:szCs w:val="24"/>
        </w:rPr>
        <w:t xml:space="preserve">твия (бездействие)  администрации Тымского сельского поселения, предоставляющего муниципальную услугу, его должностных лиц, муниципальных служащих подается для рассмотрения в администрацию Тымского сельского поселения, предоставляющей муниципальную услугу.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Способы информирования заявителей о порядке подачи и рассмотрения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жалобы, в том числе с использованием Единого портала государственных 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муниципальных услуг (функций)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стендах в местах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на сайте Уполномоченного органа, Едином портале,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портале, а также предоставляется в </w:t>
      </w:r>
      <w:r>
        <w:rPr>
          <w:rFonts w:ascii="Times New Roman" w:hAnsi="Times New Roman" w:cs="Times New Roman"/>
          <w:sz w:val="24"/>
          <w:szCs w:val="24"/>
        </w:rPr>
        <w:t xml:space="preserve">устной форме по телефону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(или) на личном приеме либо в письменной форме почтовым отправлением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адресу, указанному заявителем (представителем).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Перечень нормативных правовых актов, регулирующих порядок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досудебного (внесудебного) обжалования действий (бездействия) и (или)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решений, принятых (осуществленных) в ходе предоставления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</w:t>
      </w:r>
      <w:r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услугу, а также его должностных лиц регулируется: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</w:t>
      </w:r>
      <w:r>
        <w:rPr>
          <w:rFonts w:ascii="Times New Roman" w:hAnsi="Times New Roman" w:cs="Times New Roman"/>
          <w:sz w:val="24"/>
          <w:szCs w:val="24"/>
        </w:rPr>
        <w:t xml:space="preserve">.11.</w:t>
      </w:r>
      <w:r>
        <w:rPr>
          <w:rFonts w:ascii="Times New Roman" w:hAnsi="Times New Roman" w:cs="Times New Roman"/>
          <w:sz w:val="24"/>
          <w:szCs w:val="24"/>
        </w:rPr>
        <w:t xml:space="preserve">2012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1198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федеральной государственной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Особенности выполнения административных процедур (действий)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многофункциональных центрах предоставления государственных 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муниципальных услуг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Исчерпывающий перечень административных процедур (действий) при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услуги, выполняемых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многофункциональными центрами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Многофункциональный центр осуществляет: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центре, по иным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связанным с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на бумажном носителе, подтверждающих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выдача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выписок из информационных систем органов, предоставляющих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№ 210-ФЗ.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Информирование заявителей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заявителя многофункциональными центрами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следующими способами: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средств массовой информации, а также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 информации на официальных сайтах и информационных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многофункциональных центров;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</w:t>
      </w:r>
      <w:r>
        <w:rPr>
          <w:rFonts w:ascii="Times New Roman" w:hAnsi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заявителя в многофункциональный центр лично,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телефону, посредством почтовых отправлений, либо по электронной почте.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информирует заявителей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форме с использованием официально-делового стиля речи. Рекомендуемое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консультации – не более 15 минут, время ожидания в очереди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секторе информирования для получения информации о муниципальных услугах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превышать 15 минут.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наименовании организации, фамилии, имени, отчестве и должности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принявшего телефонный звонок. Индивидуальное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устное консультирование при обращении заявителя по телефону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не более 10 минут.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время, работник многофункционального центра, осуществляющий индивидуальное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устное консультирование по телефону, может предложить заявителю: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со способом, указанным в обращении);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в письменном виде в срок не позднее 30 календарных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обращения в форме электронного документа по адресу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почты, 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документа, и в письменной форме по почтовому адресу,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письменной форме.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Выдача заявителю результата предоставления муниципальной услуги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результатов оказания услуги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многофункциональный центр, уполномоченный орган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передает документы в 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 для последующей выдачи заявителю (представителю) способом,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заключенным соглашениям о взаимодействии заключенным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 в порядке, утвержденном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27</w:t>
      </w:r>
      <w:r>
        <w:rPr>
          <w:rFonts w:ascii="Times New Roman" w:hAnsi="Times New Roman" w:cs="Times New Roman"/>
          <w:sz w:val="24"/>
          <w:szCs w:val="24"/>
        </w:rPr>
        <w:t xml:space="preserve">.09.2011</w:t>
      </w:r>
      <w:r>
        <w:rPr>
          <w:rFonts w:ascii="Times New Roman" w:hAnsi="Times New Roman" w:cs="Times New Roman"/>
          <w:sz w:val="24"/>
          <w:szCs w:val="24"/>
        </w:rPr>
        <w:t xml:space="preserve"> №797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взаимодействии между многофункциональными центрами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и федеральными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власти, органами государственных внебюджетных фондов,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органами государственной власти субъектов Российской Федерации,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</w:t>
      </w:r>
      <w:r>
        <w:rPr>
          <w:rFonts w:ascii="Times New Roman" w:hAnsi="Times New Roman" w:cs="Times New Roman"/>
          <w:sz w:val="24"/>
          <w:szCs w:val="24"/>
        </w:rPr>
        <w:t xml:space="preserve">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услуги, в порядке очередности при получении номерного талона из терминала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очереди, соответствующего цели обращения, либо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предварительной записи.</w:t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Работник многофункционального центра осуществляет следующие действия: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устанавливает личность заявителя на основании паспорта гражданина  Российской Федерации и иных документов, удостоверяющих личность  заявителя, в соответствии с законодательством Российской Федерации либо  устанавливает личность заявителя, проводит его иден</w:t>
      </w:r>
      <w:r>
        <w:rPr>
          <w:rFonts w:ascii="Liberation Serif" w:hAnsi="Liberation Serif" w:cs="Liberation Serif"/>
          <w:sz w:val="24"/>
          <w:szCs w:val="24"/>
        </w:rPr>
        <w:t xml:space="preserve">тификацию,  аутентификацию с использованием информационных систем, указанных в  частях 10 и 11 статьи 7 Федерального закона от 27.07.2010 №210-ФЗ, а  также проверяет соответствие копий представляемых документов (за  исключением нотариально заверенных) их о</w:t>
      </w:r>
      <w:r>
        <w:rPr>
          <w:rFonts w:ascii="Liberation Serif" w:hAnsi="Liberation Serif" w:cs="Liberation Serif"/>
          <w:sz w:val="24"/>
          <w:szCs w:val="24"/>
        </w:rPr>
        <w:t xml:space="preserve">ригиналам;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848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заявителя);</w:t>
      </w:r>
      <w:r/>
    </w:p>
    <w:p>
      <w:pPr>
        <w:pStyle w:val="848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заявления о выдаче разрешения на ввод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 в эксплуатацию в ГИС;</w:t>
      </w:r>
      <w:r/>
    </w:p>
    <w:p>
      <w:pPr>
        <w:pStyle w:val="848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услуги в виде экземпляра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документа на бумажном носителе и заверяет его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печати многофункционального центра (в предусмотренных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Российской Федерации случаях – печати с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герба Российской Федерации);</w:t>
      </w:r>
      <w:r/>
    </w:p>
    <w:p>
      <w:pPr>
        <w:pStyle w:val="848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случаях – печати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изображением Государственного герба Российской Федерации);</w:t>
      </w:r>
      <w:r/>
    </w:p>
    <w:p>
      <w:pPr>
        <w:pStyle w:val="848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подписи за каждый выданный документ;</w:t>
      </w:r>
      <w:r/>
    </w:p>
    <w:p>
      <w:pPr>
        <w:pStyle w:val="848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предоставленных услу</w:t>
      </w:r>
      <w:r>
        <w:rPr>
          <w:rFonts w:ascii="Times New Roman" w:hAnsi="Times New Roman" w:cs="Times New Roman"/>
          <w:sz w:val="24"/>
          <w:szCs w:val="24"/>
        </w:rPr>
        <w:t xml:space="preserve">г многофункциональным центром.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строительства, реконструкции объект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ind w:left="510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</w:t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left="467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Комиссию по подготовке Правил землепользования и застройки Тымского сельского поселения</w:t>
      </w:r>
      <w:r/>
    </w:p>
    <w:p>
      <w:pPr>
        <w:contextualSpacing/>
        <w:ind w:left="4678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contextualSpacing/>
        <w:ind w:left="467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для заявителя юридического лица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полное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наименование, организационно-правовая форма,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сведения о государственной регистрации, место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нахождения, контактная информация: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телефон, эл. почта;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для заявителя физического лица - фамилия, имя,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отчество, паспортные данные, регистрация по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месту жительства, адрес фактического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проживания телефон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/>
    </w:p>
    <w:p>
      <w:pPr>
        <w:contextualSpacing/>
        <w:ind w:left="4678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А Я В Л Е Н И 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разрешения на отклонение от предельных параметров разрешенного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строительства, реконструкции объект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капитального строительства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 20___</w:t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тклонение от предельных параметров разрешенного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строительства, реконструкции объект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капитального строительства</w:t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8"/>
      </w:tblGrid>
      <w:tr>
        <w:trPr/>
        <w:tc>
          <w:tcPr>
            <w:tcBorders>
              <w:bottom w:val="single" w:color="auto" w:sz="4" w:space="0"/>
            </w:tcBorders>
            <w:tcW w:w="9488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9488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/>
        <w:jc w:val="center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Сведения о земельном участке: адрес, кадастровый номер, площадь, вид разрешенного использования, реквизиты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градостроительного плана земельного участка (при наличии). Сведения об объекте капитального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строительства: кадастровый номер, площадь, этажность, назначение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.)</w:t>
      </w:r>
      <w:r/>
    </w:p>
    <w:p>
      <w:pPr>
        <w:contextualSpacing/>
        <w:jc w:val="center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планируемых к размещению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bottom w:val="single" w:color="auto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запрашиваемого отклонения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bottom w:val="single" w:color="auto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и адрес электронной почты для связи: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прошу: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6607"/>
        <w:gridCol w:w="3022"/>
      </w:tblGrid>
      <w:tr>
        <w:trPr/>
        <w:tc>
          <w:tcPr>
            <w:tcW w:w="660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/на региональном портале государственных и муниципальных услуг</w:t>
            </w:r>
            <w:r/>
          </w:p>
        </w:tc>
        <w:tc>
          <w:tcPr>
            <w:tcW w:w="30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0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0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адрес: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9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Указывается один из перечисленных способов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47"/>
        <w:tblW w:w="0" w:type="auto"/>
        <w:tblInd w:w="4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5"/>
        <w:gridCol w:w="283"/>
        <w:gridCol w:w="2830"/>
      </w:tblGrid>
      <w:tr>
        <w:trPr/>
        <w:tc>
          <w:tcPr>
            <w:tcBorders>
              <w:bottom w:val="single" w:color="auto" w:sz="4" w:space="0"/>
            </w:tcBorders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Ф.И.О.(при наличии)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  <w:r/>
    </w:p>
    <w:p>
      <w:pPr>
        <w:contextualSpacing/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строительства, реконструкции объект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contextualSpacing/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</w:t>
      </w:r>
      <w:r/>
    </w:p>
    <w:p>
      <w:pPr>
        <w:contextualSpacing/>
        <w:ind w:left="467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/>
    </w:p>
    <w:p>
      <w:pPr>
        <w:contextualSpacing/>
        <w:ind w:left="4678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лица)</w:t>
      </w:r>
      <w:r/>
    </w:p>
    <w:p>
      <w:pPr>
        <w:contextualSpacing/>
        <w:ind w:left="467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/>
    </w:p>
    <w:p>
      <w:pPr>
        <w:contextualSpacing/>
        <w:ind w:left="4678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(почтовый индекс и адрес, телефон, адрес электронной</w:t>
      </w:r>
      <w:r/>
    </w:p>
    <w:p>
      <w:pPr>
        <w:contextualSpacing/>
        <w:ind w:left="4678"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почты)</w:t>
      </w:r>
      <w:r/>
    </w:p>
    <w:p>
      <w:pPr>
        <w:contextualSpacing/>
        <w:ind w:left="4678"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Е Н И 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 №__________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____________№_____________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об отказе в </w:t>
      </w:r>
      <w:r>
        <w:rPr>
          <w:rFonts w:ascii="Times New Roman" w:hAnsi="Times New Roman" w:cs="Times New Roman"/>
          <w:sz w:val="24"/>
          <w:szCs w:val="24"/>
        </w:rPr>
        <w:t xml:space="preserve">приёме документов, необходимых для предоставления муниципальной услуги «П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отклонение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в связи </w:t>
      </w:r>
      <w:r>
        <w:rPr>
          <w:rFonts w:ascii="Times New Roman" w:hAnsi="Times New Roman" w:cs="Times New Roman"/>
          <w:sz w:val="24"/>
          <w:szCs w:val="24"/>
        </w:rPr>
        <w:t xml:space="preserve">с: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разрешения на отклонение от предельных параметров разрешенного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строительства, реконструкции объект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после устранения указанных нарушений.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жалобы в __________________________, а также в судебном порядке.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информируем: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информация, необходимая для устранения причин отказа в приеме документов, а также иная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информация при наличии)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5"/>
        <w:gridCol w:w="959"/>
        <w:gridCol w:w="1898"/>
        <w:gridCol w:w="687"/>
        <w:gridCol w:w="3109"/>
      </w:tblGrid>
      <w:tr>
        <w:trPr/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8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(должность)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(подпись)</w:t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1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(фамилия,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имя, отчество (при наличии)</w:t>
            </w:r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67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6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0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</w:t>
      </w:r>
      <w:r/>
    </w:p>
    <w:p>
      <w:pPr>
        <w:ind w:left="90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строительства, реконструкции объект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ind w:left="90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917"/>
        <w:gridCol w:w="2147"/>
        <w:gridCol w:w="2166"/>
        <w:gridCol w:w="1841"/>
        <w:gridCol w:w="2156"/>
        <w:gridCol w:w="2147"/>
        <w:gridCol w:w="2186"/>
      </w:tblGrid>
      <w:tr>
        <w:trPr/>
        <w:tc>
          <w:tcPr>
            <w:tcW w:w="1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административных действий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действий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</w:t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действия/используемая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</w:t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действия,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фиксации</w:t>
            </w:r>
            <w:r/>
          </w:p>
        </w:tc>
      </w:tr>
      <w:tr>
        <w:trPr/>
        <w:tc>
          <w:tcPr>
            <w:tcW w:w="1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документов и регистрация заявления</w:t>
            </w:r>
            <w:r/>
          </w:p>
        </w:tc>
      </w:tr>
      <w:tr>
        <w:trPr/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комплектности документов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 предусмотренных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пунктом 2.16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</w:t>
            </w:r>
            <w:r/>
          </w:p>
        </w:tc>
        <w:tc>
          <w:tcPr>
            <w:tcW w:w="2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рабочего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</w:t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</w:t>
            </w:r>
            <w:r/>
          </w:p>
        </w:tc>
        <w:tc>
          <w:tcPr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орган/ГИС/ПГС</w:t>
            </w:r>
            <w:r/>
          </w:p>
        </w:tc>
        <w:tc>
          <w:tcPr>
            <w:tcW w:w="214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приёме документов, предусмотренных пунктом 2.16</w:t>
            </w:r>
            <w:r/>
          </w:p>
        </w:tc>
        <w:tc>
          <w:tcPr>
            <w:tcW w:w="21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ответственного за предоставление муниципальной услуги, и передача ему документов</w:t>
            </w:r>
            <w:r/>
          </w:p>
        </w:tc>
      </w:tr>
      <w:tr>
        <w:trPr/>
        <w:tc>
          <w:tcPr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об отказе в приеме документов, в случае выявления оснований для отказа в приеме документов</w:t>
            </w:r>
            <w:r/>
          </w:p>
        </w:tc>
        <w:tc>
          <w:tcPr>
            <w:tcW w:w="216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заявления, в случае отсутствия оснований для отказа в приёме документов</w:t>
            </w:r>
            <w:r/>
          </w:p>
        </w:tc>
        <w:tc>
          <w:tcPr>
            <w:tcW w:w="216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регистрацию корреспонденции</w:t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орган/ГИС</w:t>
            </w:r>
            <w:r/>
          </w:p>
        </w:tc>
        <w:tc>
          <w:tcPr>
            <w:tcW w:w="21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сведений посредством СМЭВ</w:t>
            </w:r>
            <w:r/>
          </w:p>
        </w:tc>
      </w:tr>
      <w:tr>
        <w:trPr/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должностному лицу,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межведомственных запросов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и организации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</w:t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орган/ГИС/ПГС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/СМЭВ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  <w:r/>
          </w:p>
        </w:tc>
      </w:tr>
      <w:tr>
        <w:trPr/>
        <w:tc>
          <w:tcPr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ответов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межведомственные запросы,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 документов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межведомственного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орган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предоставляющие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иные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</w:t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орган/ГИС/ПГС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/СМЭВ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муниципальной услуги</w:t>
            </w:r>
            <w:r/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3.Рассмотрение документов и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проведение общественных обсуждений</w:t>
            </w:r>
            <w:r/>
          </w:p>
        </w:tc>
      </w:tr>
      <w:tr>
        <w:trPr/>
        <w:tc>
          <w:tcPr>
            <w:tcW w:w="1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должностному лицу,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и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 нормативных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 рабочих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</w:t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орган/ГИС/ПГС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пунктом 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</w:t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</w:t>
            </w:r>
            <w:r/>
          </w:p>
        </w:tc>
      </w:tr>
      <w:tr>
        <w:trPr/>
        <w:tc>
          <w:tcPr>
            <w:tcW w:w="1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документов и сведений требованиям нормативных правовых актов предоставления муниципальной услуги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общественных обсуждений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оповещения о проведении общественных обсуждений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</w:t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рекомендаций комиссии</w:t>
            </w:r>
            <w:r/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</w:t>
            </w:r>
            <w:r/>
          </w:p>
        </w:tc>
      </w:tr>
      <w:tr>
        <w:trPr/>
        <w:tc>
          <w:tcPr>
            <w:tcW w:w="19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результата предоставления муниципальной услуги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заключения о результатах общественных обсуждений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</w:t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орган/ГИС/ПГС</w:t>
            </w:r>
            <w:r/>
          </w:p>
        </w:tc>
        <w:tc>
          <w:tcPr>
            <w:tcW w:w="21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218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услуги, подписанный Уполномоченн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органом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пятнадцати рабочих дней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общественных обсуждений</w:t>
            </w:r>
            <w:r/>
          </w:p>
        </w:tc>
        <w:tc>
          <w:tcPr>
            <w:tcW w:w="18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об отказе в предоставлении муниципальной услуги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семи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поступления рекомендаций Комиссии</w:t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</w:t>
            </w:r>
            <w:r/>
          </w:p>
        </w:tc>
        <w:tc>
          <w:tcPr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постановления администрации сельского поселения</w:t>
            </w:r>
            <w:r/>
          </w:p>
        </w:tc>
      </w:tr>
      <w:tr>
        <w:trPr/>
        <w:tc>
          <w:tcPr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муниципальной услуги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семи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поступления рекомендаций Комиссии</w:t>
            </w:r>
            <w:r/>
          </w:p>
        </w:tc>
        <w:tc>
          <w:tcPr>
            <w:tcW w:w="18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5.Выдача результата</w:t>
            </w:r>
            <w:r/>
          </w:p>
        </w:tc>
      </w:tr>
      <w:tr>
        <w:trPr/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результата предоставления муниципальной услуги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</w:t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</w:t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орган/ГИС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ГИС</w:t>
            </w:r>
            <w:r/>
          </w:p>
        </w:tc>
      </w:tr>
      <w:tr>
        <w:trPr/>
        <w:tc>
          <w:tcPr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многофу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нкциональный центр результата муниципальной услуги, указанного в пункте 2.20 Административного регламента,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сроки, установленные соглашением о взаимодействии между Уполномоченным органом и многофункциональным центром</w:t>
            </w:r>
            <w:r/>
          </w:p>
        </w:tc>
        <w:tc>
          <w:tcPr>
            <w:tcW w:w="18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АИС МФЦ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  <w:r/>
          </w:p>
        </w:tc>
      </w:tr>
      <w:tr>
        <w:trPr/>
        <w:tc>
          <w:tcPr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Едином портале</w:t>
            </w:r>
            <w:r/>
          </w:p>
        </w:tc>
        <w:tc>
          <w:tcPr>
            <w:tcW w:w="2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регистрации результата предоставления муниципальной услуги</w:t>
            </w:r>
            <w:r/>
          </w:p>
        </w:tc>
        <w:tc>
          <w:tcPr>
            <w:tcW w:w="18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ГИС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муниципальной услуги, направленный заявителю в личный кабинет на Едином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портале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ItalicMT">
    <w:panose1 w:val="02000603000000000000"/>
  </w:font>
  <w:font w:name="Calibri">
    <w:panose1 w:val="020F05020202040302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2637176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4"/>
        <w:szCs w:val="24"/>
      </w:rPr>
    </w:sdtPr>
    <w:sdtContent>
      <w:p>
        <w:pPr>
          <w:pStyle w:val="85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85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3"/>
    <w:next w:val="843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4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3"/>
    <w:next w:val="843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4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4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4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4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4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4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3"/>
    <w:next w:val="843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4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4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4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4"/>
    <w:link w:val="853"/>
    <w:uiPriority w:val="99"/>
  </w:style>
  <w:style w:type="character" w:styleId="698">
    <w:name w:val="Footer Char"/>
    <w:basedOn w:val="844"/>
    <w:link w:val="855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5"/>
    <w:uiPriority w:val="99"/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table" w:styleId="847">
    <w:name w:val="Table Grid"/>
    <w:basedOn w:val="8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8">
    <w:name w:val="List Paragraph"/>
    <w:basedOn w:val="843"/>
    <w:link w:val="84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 w:customStyle="1">
    <w:name w:val="Абзац списка Знак"/>
    <w:link w:val="848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Hyperlink"/>
    <w:basedOn w:val="844"/>
    <w:uiPriority w:val="99"/>
    <w:unhideWhenUsed/>
    <w:rPr>
      <w:color w:val="0000ff"/>
      <w:u w:val="single"/>
    </w:rPr>
  </w:style>
  <w:style w:type="paragraph" w:styleId="851">
    <w:name w:val="Balloon Text"/>
    <w:basedOn w:val="843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4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Header"/>
    <w:basedOn w:val="843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4"/>
    <w:link w:val="853"/>
    <w:uiPriority w:val="99"/>
  </w:style>
  <w:style w:type="paragraph" w:styleId="855">
    <w:name w:val="Footer"/>
    <w:basedOn w:val="843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4"/>
    <w:link w:val="855"/>
    <w:uiPriority w:val="99"/>
  </w:style>
  <w:style w:type="paragraph" w:styleId="857" w:customStyle="1">
    <w:name w:val="Body Text"/>
    <w:uiPriority w:val="1"/>
    <w:qFormat/>
    <w:pPr>
      <w:contextualSpacing w:val="0"/>
      <w:ind w:left="141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6CFBF98586208A1291DE4A3B0FAC552EABBF1F29F728870C4BE3079825FA20DBEF95C1B4F5p2A4F" TargetMode="Externa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12" Type="http://schemas.openxmlformats.org/officeDocument/2006/relationships/hyperlink" Target="garantF1://12024624.0" TargetMode="External"/><Relationship Id="rId13" Type="http://schemas.openxmlformats.org/officeDocument/2006/relationships/hyperlink" Target="garantF1://12038258.0" TargetMode="External"/><Relationship Id="rId14" Type="http://schemas.openxmlformats.org/officeDocument/2006/relationships/hyperlink" Target="garantF1://86367.0" TargetMode="External"/><Relationship Id="rId15" Type="http://schemas.openxmlformats.org/officeDocument/2006/relationships/hyperlink" Target="garantF1://12077515.0" TargetMode="External"/><Relationship Id="rId16" Type="http://schemas.openxmlformats.org/officeDocument/2006/relationships/hyperlink" Target="consultantplus://offline/ref=8AC0BD87BAE8065E73106C10403CF92EA3E0BC20A3E9BE8576ACC955C7F87873269AA061642E2683nELBI" TargetMode="External"/><Relationship Id="rId17" Type="http://schemas.openxmlformats.org/officeDocument/2006/relationships/hyperlink" Target="consultantplus://offline/ref=8AC0BD87BAE8065E73106C10403CF92EA3E0BC20A3E9BE8576ACC955C7F87873269AA064n6L7I" TargetMode="External"/><Relationship Id="rId18" Type="http://schemas.openxmlformats.org/officeDocument/2006/relationships/hyperlink" Target="https://mobileonline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revision>4</cp:revision>
  <dcterms:created xsi:type="dcterms:W3CDTF">2022-06-28T11:41:00Z</dcterms:created>
  <dcterms:modified xsi:type="dcterms:W3CDTF">2025-03-03T05:52:46Z</dcterms:modified>
</cp:coreProperties>
</file>