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МУНИЦИПАЛЬНОЕ ОБРАЗОВАНИЕ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«ТЫМСКОЕ СЕЛЬСКОЕ ПОСЕЛЕНИЕ»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КАРГАСОКСКИЙ РАЙОН ТОМСКОЙ ОБЛАСТИ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МУНИЦИПАЛЬНОЕ КАЗЕННОЕ УЧРЕЖДЕНИЕ</w:t>
      </w:r>
      <w:r>
        <w:rPr>
          <w:b/>
          <w:bCs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АДМИНИСТРАЦИЯ ТЫМСКОГОСЕЛЬСКОГО ПОСЕЛЕНИЯ</w:t>
      </w:r>
      <w:r>
        <w:rPr>
          <w:b/>
          <w:bCs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ПОСТАНОВЛЕНИЕ</w:t>
      </w:r>
      <w:r>
        <w:rPr>
          <w:b/>
          <w:bCs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23.01.2025                                                                                                                           № 2</w:t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с.Тымск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</w:t>
      </w:r>
      <w:r/>
    </w:p>
    <w:p>
      <w:pPr>
        <w:pStyle w:val="894"/>
        <w:ind w:firstLine="709"/>
        <w:jc w:val="both"/>
        <w:spacing w:before="0" w:beforeAutospacing="0" w:after="0" w:afterAutospacing="0"/>
        <w:rPr>
          <w:rStyle w:val="895"/>
        </w:rPr>
      </w:pPr>
      <w:r>
        <w:rPr>
          <w:rStyle w:val="895"/>
        </w:rPr>
        <w:t xml:space="preserve">В </w:t>
      </w:r>
      <w:r>
        <w:rPr>
          <w:rStyle w:val="895"/>
        </w:rPr>
        <w:t xml:space="preserve">   </w:t>
      </w:r>
      <w:r>
        <w:rPr>
          <w:rStyle w:val="895"/>
        </w:rPr>
        <w:t xml:space="preserve">соответствии </w:t>
      </w:r>
      <w:r>
        <w:rPr>
          <w:rStyle w:val="895"/>
        </w:rPr>
        <w:t xml:space="preserve"> </w:t>
      </w:r>
      <w:r>
        <w:rPr>
          <w:rStyle w:val="895"/>
        </w:rPr>
        <w:t xml:space="preserve">с Федера</w:t>
      </w:r>
      <w:r>
        <w:rPr>
          <w:rStyle w:val="895"/>
        </w:rPr>
        <w:t xml:space="preserve">льным законом от 06 октября 2003 года №131-ФЗ «Об общих принципах организации местного самоуправления в Российской Федерации, Федеральным законом от 27.07.2010 г. №210-ФЗ «Об организации предоставления государственных и муниципальных услуг», </w:t>
      </w:r>
      <w:r>
        <w:rPr>
          <w:rStyle w:val="895"/>
        </w:rPr>
      </w:r>
      <w:r/>
    </w:p>
    <w:p>
      <w:pPr>
        <w:pStyle w:val="894"/>
        <w:ind w:firstLine="709"/>
        <w:jc w:val="both"/>
        <w:spacing w:before="0" w:beforeAutospacing="0" w:after="0" w:afterAutospacing="0"/>
        <w:rPr>
          <w:b w:val="0"/>
          <w:bCs w:val="0"/>
        </w:rPr>
      </w:pPr>
      <w:r>
        <w:rPr>
          <w:rStyle w:val="897"/>
          <w:b w:val="0"/>
          <w:bCs w:val="0"/>
          <w:highlight w:val="none"/>
        </w:rPr>
      </w:r>
      <w:r>
        <w:rPr>
          <w:b w:val="0"/>
          <w:bCs w:val="0"/>
        </w:rPr>
      </w:r>
      <w:r/>
    </w:p>
    <w:p>
      <w:pPr>
        <w:pStyle w:val="894"/>
        <w:ind w:firstLine="709"/>
        <w:jc w:val="both"/>
        <w:spacing w:before="0" w:beforeAutospacing="0" w:after="0" w:afterAutospacing="0"/>
        <w:rPr>
          <w:b w:val="0"/>
          <w:bCs w:val="0"/>
          <w:highlight w:val="none"/>
        </w:rPr>
      </w:pPr>
      <w:r>
        <w:rPr>
          <w:rStyle w:val="895"/>
          <w:b w:val="0"/>
          <w:bCs w:val="0"/>
        </w:rPr>
        <w:t xml:space="preserve">ПОСТАНОВЛЯ</w:t>
      </w:r>
      <w:r>
        <w:rPr>
          <w:b w:val="0"/>
          <w:bCs w:val="0"/>
        </w:rPr>
        <w:t xml:space="preserve">Ю:</w:t>
      </w:r>
      <w:r>
        <w:rPr>
          <w:b w:val="0"/>
          <w:bCs w:val="0"/>
        </w:rPr>
      </w:r>
      <w:r/>
    </w:p>
    <w:p>
      <w:pPr>
        <w:pStyle w:val="894"/>
        <w:ind w:firstLine="709"/>
        <w:jc w:val="both"/>
        <w:spacing w:before="0" w:beforeAutospacing="0" w:after="0" w:afterAutospacing="0"/>
        <w:rPr>
          <w:rStyle w:val="897"/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/>
    </w:p>
    <w:p>
      <w:pPr>
        <w:pStyle w:val="894"/>
        <w:ind w:firstLine="709"/>
        <w:jc w:val="both"/>
        <w:spacing w:before="0" w:beforeAutospacing="0" w:after="0" w:afterAutospacing="0"/>
        <w:rPr>
          <w:rStyle w:val="897"/>
        </w:rPr>
      </w:pPr>
      <w:r>
        <w:rPr>
          <w:rStyle w:val="897"/>
        </w:rPr>
        <w:t xml:space="preserve"> </w:t>
      </w:r>
      <w:r>
        <w:rPr>
          <w:rStyle w:val="895"/>
        </w:rPr>
        <w:t xml:space="preserve">1. Утвердить а</w:t>
      </w:r>
      <w:r>
        <w:rPr>
          <w:rStyle w:val="895"/>
        </w:rPr>
        <w:t xml:space="preserve">дминистративн</w:t>
      </w:r>
      <w:r>
        <w:rPr>
          <w:rStyle w:val="895"/>
        </w:rPr>
        <w:t xml:space="preserve">ый регламент по предоставлению </w:t>
      </w:r>
      <w:r>
        <w:rPr>
          <w:rStyle w:val="895"/>
        </w:rPr>
        <w:t xml:space="preserve">муниципальной услуги </w:t>
      </w:r>
      <w:r>
        <w:t xml:space="preserve">«Присвоени</w:t>
      </w:r>
      <w:r>
        <w:t xml:space="preserve">е адреса объекту адресации, изменени</w:t>
      </w:r>
      <w:r>
        <w:t xml:space="preserve">ю</w:t>
      </w:r>
      <w:r>
        <w:t xml:space="preserve"> и аннулировани</w:t>
      </w:r>
      <w:r>
        <w:t xml:space="preserve">ю</w:t>
      </w:r>
      <w:r>
        <w:t xml:space="preserve"> такого адреса</w:t>
      </w:r>
      <w:r>
        <w:rPr>
          <w:rStyle w:val="895"/>
        </w:rPr>
        <w:t xml:space="preserve">», согласно приложению.</w:t>
      </w:r>
      <w:r>
        <w:rPr>
          <w:rStyle w:val="897"/>
        </w:rPr>
        <w:t xml:space="preserve"> </w:t>
      </w:r>
      <w:r/>
    </w:p>
    <w:p>
      <w:pPr>
        <w:pStyle w:val="894"/>
        <w:ind w:firstLine="709"/>
        <w:jc w:val="both"/>
        <w:spacing w:before="0" w:beforeAutospacing="0" w:after="0" w:afterAutospacing="0"/>
      </w:pPr>
      <w:r>
        <w:t xml:space="preserve">2. </w:t>
      </w:r>
      <w:r>
        <w:t xml:space="preserve">Признать утратившим</w:t>
      </w:r>
      <w:r>
        <w:t xml:space="preserve">и</w:t>
      </w:r>
      <w:r>
        <w:t xml:space="preserve"> силу</w:t>
      </w:r>
      <w:r>
        <w:t xml:space="preserve">:</w:t>
      </w:r>
      <w:r/>
    </w:p>
    <w:p>
      <w:pPr>
        <w:pStyle w:val="894"/>
        <w:ind w:firstLine="709"/>
        <w:jc w:val="both"/>
        <w:spacing w:before="0" w:beforeAutospacing="0" w:after="0" w:afterAutospacing="0"/>
      </w:pPr>
      <w:r>
        <w:t xml:space="preserve">- </w:t>
      </w:r>
      <w:r>
        <w:t xml:space="preserve">п</w:t>
      </w:r>
      <w:r>
        <w:t xml:space="preserve">остановление Администрации Тымского</w:t>
      </w:r>
      <w:r>
        <w:t xml:space="preserve"> сельского поселения от 23.06.2015 г. </w:t>
      </w:r>
      <w:r>
        <w:t xml:space="preserve">№</w:t>
      </w:r>
      <w:r>
        <w:t xml:space="preserve"> 31 «</w:t>
      </w:r>
      <w:r>
        <w:t xml:space="preserve">Об утверждении Административного регламента  по   предоставлению муниципальной       услуги «Присвоение (изменение), аннулирование адресов объектам недвижимости, расположенным  на территории  Тымского сельского поселения»</w:t>
      </w:r>
      <w: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Тымского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30.06.2016 г.  № 34а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Тымского сельского поселения от 23.06.2015 № 31 «Об утверждении Административного регламента по   предоставлению муниципальной  услуги «Присвоение (изменение), аннулирование адресов   объекта</w:t>
      </w:r>
      <w:r>
        <w:rPr>
          <w:rFonts w:ascii="Times New Roman" w:hAnsi="Times New Roman" w:cs="Times New Roman"/>
          <w:sz w:val="24"/>
          <w:szCs w:val="24"/>
        </w:rPr>
        <w:t xml:space="preserve">м недвижимости, расположенным  на территории Тымского сельского поселения».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Разместить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Тымского сельского поселения в информационно-телекоммуникационной сети Интернет.</w:t>
      </w:r>
      <w:r/>
    </w:p>
    <w:p>
      <w:pPr>
        <w:pStyle w:val="894"/>
        <w:jc w:val="both"/>
        <w:spacing w:before="0" w:beforeAutospacing="0" w:after="0" w:afterAutospacing="0"/>
      </w:pPr>
      <w:r>
        <w:t xml:space="preserve">            4. Настоящее постановление вступает в силу со дня официального обнародования в порядке, предусмотренном Уставом муниципального образования «Тымское сельское поселение».</w:t>
      </w:r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>
        <w:t xml:space="preserve">Глава Администрации </w:t>
      </w:r>
      <w:r/>
    </w:p>
    <w:p>
      <w:pPr>
        <w:pStyle w:val="894"/>
        <w:spacing w:before="0" w:beforeAutospacing="0" w:after="0" w:afterAutospacing="0"/>
      </w:pPr>
      <w:r>
        <w:t xml:space="preserve">Тымского сельского поселения     </w:t>
        <w:tab/>
        <w:tab/>
        <w:tab/>
        <w:tab/>
        <w:t xml:space="preserve">                                      К.Ф. Важенин</w:t>
      </w:r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spacing w:before="0" w:beforeAutospacing="0" w:after="0" w:afterAutospacing="0"/>
      </w:pPr>
      <w:r/>
      <w:r/>
    </w:p>
    <w:p>
      <w:pPr>
        <w:pStyle w:val="894"/>
        <w:ind w:right="-142"/>
        <w:jc w:val="right"/>
        <w:spacing w:before="0" w:beforeAutospacing="0" w:after="0" w:afterAutospacing="0"/>
        <w:rPr>
          <w:rStyle w:val="895"/>
          <w:sz w:val="20"/>
          <w:szCs w:val="20"/>
        </w:rPr>
      </w:pPr>
      <w:r/>
      <w:bookmarkStart w:id="0" w:name="_GoBack"/>
      <w:r>
        <w:rPr>
          <w:rStyle w:val="895"/>
          <w:sz w:val="20"/>
          <w:szCs w:val="20"/>
        </w:rPr>
        <w:t xml:space="preserve">Утвержден</w:t>
      </w:r>
      <w:r/>
    </w:p>
    <w:p>
      <w:pPr>
        <w:pStyle w:val="894"/>
        <w:ind w:right="-142"/>
        <w:jc w:val="right"/>
        <w:spacing w:before="0" w:beforeAutospacing="0" w:after="0" w:afterAutospacing="0"/>
        <w:rPr>
          <w:sz w:val="20"/>
          <w:szCs w:val="20"/>
        </w:rPr>
      </w:pPr>
      <w:r>
        <w:rPr>
          <w:rStyle w:val="895"/>
          <w:sz w:val="20"/>
          <w:szCs w:val="20"/>
        </w:rPr>
        <w:t xml:space="preserve">постановлением администрации</w:t>
      </w:r>
      <w:r/>
    </w:p>
    <w:p>
      <w:pPr>
        <w:pStyle w:val="894"/>
        <w:ind w:right="-142"/>
        <w:jc w:val="right"/>
        <w:spacing w:before="0" w:beforeAutospacing="0" w:after="0" w:afterAutospacing="0"/>
        <w:rPr>
          <w:rStyle w:val="895"/>
          <w:sz w:val="20"/>
          <w:szCs w:val="20"/>
        </w:rPr>
      </w:pPr>
      <w:r>
        <w:rPr>
          <w:rStyle w:val="895"/>
          <w:sz w:val="20"/>
          <w:szCs w:val="20"/>
        </w:rPr>
        <w:t xml:space="preserve"> </w:t>
      </w:r>
      <w:r>
        <w:rPr>
          <w:rStyle w:val="895"/>
          <w:sz w:val="20"/>
          <w:szCs w:val="20"/>
        </w:rPr>
        <w:t xml:space="preserve">Тымского сельско</w:t>
      </w:r>
      <w:r>
        <w:rPr>
          <w:rStyle w:val="895"/>
          <w:sz w:val="20"/>
          <w:szCs w:val="20"/>
        </w:rPr>
        <w:t xml:space="preserve">го</w:t>
      </w:r>
      <w:r>
        <w:rPr>
          <w:rStyle w:val="895"/>
          <w:sz w:val="20"/>
          <w:szCs w:val="20"/>
        </w:rPr>
        <w:t xml:space="preserve"> поселени</w:t>
      </w:r>
      <w:r>
        <w:rPr>
          <w:rStyle w:val="895"/>
          <w:sz w:val="20"/>
          <w:szCs w:val="20"/>
        </w:rPr>
        <w:t xml:space="preserve">я</w:t>
      </w:r>
      <w:r/>
    </w:p>
    <w:p>
      <w:pPr>
        <w:pStyle w:val="894"/>
        <w:ind w:right="-142" w:firstLine="517"/>
        <w:jc w:val="right"/>
        <w:spacing w:before="0" w:beforeAutospacing="0" w:after="0" w:afterAutospacing="0"/>
        <w:rPr>
          <w:rStyle w:val="895"/>
          <w:sz w:val="20"/>
          <w:szCs w:val="20"/>
        </w:rPr>
      </w:pPr>
      <w:r>
        <w:rPr>
          <w:rStyle w:val="895"/>
          <w:sz w:val="20"/>
          <w:szCs w:val="20"/>
        </w:rPr>
        <w:t xml:space="preserve">от  23.01.</w:t>
      </w:r>
      <w:r>
        <w:rPr>
          <w:rStyle w:val="895"/>
          <w:sz w:val="20"/>
          <w:szCs w:val="20"/>
        </w:rPr>
        <w:t xml:space="preserve">202</w:t>
      </w:r>
      <w:r>
        <w:rPr>
          <w:rStyle w:val="895"/>
          <w:sz w:val="20"/>
          <w:szCs w:val="20"/>
        </w:rPr>
        <w:t xml:space="preserve">5</w:t>
      </w:r>
      <w:r>
        <w:rPr>
          <w:rStyle w:val="895"/>
          <w:sz w:val="20"/>
          <w:szCs w:val="20"/>
        </w:rPr>
        <w:t xml:space="preserve"> г.</w:t>
      </w:r>
      <w:r>
        <w:rPr>
          <w:rStyle w:val="895"/>
          <w:sz w:val="20"/>
          <w:szCs w:val="20"/>
        </w:rPr>
        <w:t xml:space="preserve"> </w:t>
      </w:r>
      <w:r>
        <w:rPr>
          <w:rStyle w:val="895"/>
          <w:sz w:val="20"/>
          <w:szCs w:val="20"/>
        </w:rPr>
        <w:t xml:space="preserve">№ 2 </w:t>
      </w:r>
      <w:r/>
    </w:p>
    <w:p>
      <w:pPr>
        <w:pStyle w:val="894"/>
        <w:ind w:right="-142" w:firstLine="517"/>
        <w:jc w:val="right"/>
        <w:spacing w:before="0" w:beforeAutospacing="0" w:after="0" w:afterAutospacing="0"/>
      </w:pPr>
      <w:r/>
      <w:bookmarkEnd w:id="0"/>
      <w:r/>
      <w:r/>
    </w:p>
    <w:p>
      <w:pPr>
        <w:pStyle w:val="894"/>
        <w:jc w:val="center"/>
        <w:spacing w:before="0" w:beforeAutospacing="0" w:after="0" w:afterAutospacing="0"/>
        <w:rPr>
          <w:b/>
          <w:bCs/>
        </w:rPr>
      </w:pPr>
      <w:r>
        <w:rPr>
          <w:rStyle w:val="895"/>
          <w:b/>
        </w:rPr>
        <w:t xml:space="preserve">АДМИНИСТРАТИВНЫЙ РЕГЛАМЕНТ</w:t>
      </w:r>
      <w:r>
        <w:rPr>
          <w:rStyle w:val="897"/>
          <w:b/>
          <w:bCs/>
        </w:rPr>
        <w:t xml:space="preserve"> </w:t>
      </w:r>
      <w:r/>
    </w:p>
    <w:p>
      <w:pPr>
        <w:pStyle w:val="894"/>
        <w:jc w:val="center"/>
        <w:spacing w:before="0" w:beforeAutospacing="0" w:after="0" w:afterAutospacing="0"/>
        <w:rPr>
          <w:b/>
        </w:rPr>
      </w:pPr>
      <w:r>
        <w:rPr>
          <w:rStyle w:val="895"/>
          <w:b/>
        </w:rPr>
        <w:t xml:space="preserve">по предоставлению муниципальной услуги </w:t>
      </w:r>
      <w:r>
        <w:rPr>
          <w:rStyle w:val="897"/>
          <w:b/>
        </w:rPr>
        <w:t xml:space="preserve"> </w:t>
      </w:r>
      <w:r/>
    </w:p>
    <w:p>
      <w:pPr>
        <w:pStyle w:val="894"/>
        <w:ind w:firstLine="434"/>
        <w:jc w:val="center"/>
        <w:spacing w:before="0" w:beforeAutospacing="0" w:after="0" w:afterAutospacing="0"/>
        <w:rPr>
          <w:rStyle w:val="895"/>
          <w:b/>
        </w:rPr>
      </w:pPr>
      <w:r>
        <w:rPr>
          <w:rStyle w:val="895"/>
          <w:b/>
        </w:rPr>
        <w:t xml:space="preserve"> «Присвоение адреса объекту адресации,</w:t>
      </w:r>
      <w:r/>
    </w:p>
    <w:p>
      <w:pPr>
        <w:pStyle w:val="894"/>
        <w:ind w:firstLine="434"/>
        <w:jc w:val="center"/>
        <w:spacing w:before="0" w:beforeAutospacing="0" w:after="0" w:afterAutospacing="0"/>
        <w:rPr>
          <w:b/>
        </w:rPr>
      </w:pPr>
      <w:r>
        <w:rPr>
          <w:rStyle w:val="895"/>
          <w:b/>
        </w:rPr>
        <w:t xml:space="preserve"> изменение и аннулирование такого адреса»</w:t>
      </w:r>
      <w:r>
        <w:rPr>
          <w:rStyle w:val="897"/>
          <w:b/>
        </w:rPr>
        <w:t xml:space="preserve"> </w:t>
      </w:r>
      <w:r/>
    </w:p>
    <w:p>
      <w:pPr>
        <w:contextualSpacing/>
        <w:ind w:firstLine="567"/>
        <w:jc w:val="center"/>
        <w:spacing w:after="0" w:line="240" w:lineRule="auto"/>
        <w:widowControl w:val="off"/>
        <w:tabs>
          <w:tab w:val="left" w:pos="142" w:leader="none"/>
        </w:tabs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jc w:val="center"/>
        <w:spacing w:after="0" w:line="240" w:lineRule="auto"/>
        <w:widowControl w:val="off"/>
        <w:tabs>
          <w:tab w:val="left" w:pos="142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Регламент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порядок и стандарт предоставления  муниципальной услуги «Присвоение адреса объекту адресации, изменение и аннулирование такого адреса» (далее – Услуга)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>
        <w:rPr>
          <w:rFonts w:ascii="Times New Roman" w:hAnsi="Times New Roman" w:cs="Times New Roman"/>
          <w:sz w:val="24"/>
          <w:szCs w:val="24"/>
        </w:rPr>
        <w:t xml:space="preserve">Заявителями, имеющими право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а) собственники объекта адресации;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б) лица, обладающие одним из следующих вещных прав на объект адресации: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 право хозяйственного ведения;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 право оперативного управления;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 право пожизненно наследуемого владения;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 право постоянного (бессрочного) пользования;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в) представители Заявителя, действующие в силу полномочий, </w:t>
      </w:r>
      <w:r>
        <w:rPr>
          <w:rFonts w:ascii="Times New Roman" w:hAnsi="Times New Roman" w:cs="Times New Roman"/>
          <w:sz w:val="24"/>
          <w:szCs w:val="24"/>
        </w:rPr>
        <w:t xml:space="preserve">основанных на оформленной в установленном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г)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общего собрания членов такого некоммерческого объединения;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е) кадастровый инженер, выполняющий на основании документа, предусмотренного </w:t>
      </w:r>
      <w:hyperlink r:id="rId10" w:tooltip="consultantplus://offline/ref=9EDAB431560C24676FC92C6A892AA58931411F094EF1B35EFE8CB7D73F1F4C12AF88D40D001940C687D35B6D45D476C3F0FB3C12D0A3967FvFu0I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статьей 35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или </w:t>
      </w:r>
      <w:hyperlink r:id="rId11" w:tooltip="consultantplus://offline/ref=9EDAB431560C24676FC92C6A892AA58931411F094EF1B35EFE8CB7D73F1F4C12AF88D40F071F4891D09C5A31008565C2FDFB3E1BCCvAu0I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статьей 42.3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Федерального закона от 24 июля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</w:t>
      </w:r>
      <w:r>
        <w:rPr>
          <w:rFonts w:ascii="Times New Roman" w:hAnsi="Times New Roman" w:cs="Times New Roman"/>
          <w:sz w:val="24"/>
          <w:szCs w:val="24"/>
        </w:rPr>
        <w:t xml:space="preserve">адресации.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1.3. 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месте</w:t>
      </w:r>
      <w:r>
        <w:rPr>
          <w:rFonts w:ascii="Times New Roman" w:hAnsi="Times New Roman" w:cs="Times New Roman"/>
          <w:sz w:val="24"/>
          <w:szCs w:val="24"/>
        </w:rPr>
        <w:t xml:space="preserve"> нахождения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ОМСУ)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слугу, </w:t>
      </w:r>
      <w:r>
        <w:rPr>
          <w:rFonts w:ascii="Times New Roman" w:hAnsi="Times New Roman" w:cs="Times New Roman"/>
          <w:sz w:val="24"/>
          <w:szCs w:val="24"/>
        </w:rPr>
        <w:t xml:space="preserve">графике</w:t>
      </w:r>
      <w:r>
        <w:rPr>
          <w:rFonts w:ascii="Times New Roman" w:hAnsi="Times New Roman" w:cs="Times New Roman"/>
          <w:sz w:val="24"/>
          <w:szCs w:val="24"/>
        </w:rPr>
        <w:t xml:space="preserve"> работы, контактны</w:t>
      </w:r>
      <w:r>
        <w:rPr>
          <w:rFonts w:ascii="Times New Roman" w:hAnsi="Times New Roman" w:cs="Times New Roman"/>
          <w:sz w:val="24"/>
          <w:szCs w:val="24"/>
        </w:rPr>
        <w:t xml:space="preserve">е телефоны</w:t>
      </w:r>
      <w:r>
        <w:rPr>
          <w:rFonts w:ascii="Times New Roman" w:hAnsi="Times New Roman" w:cs="Times New Roman"/>
          <w:sz w:val="24"/>
          <w:szCs w:val="24"/>
        </w:rPr>
        <w:t xml:space="preserve"> и т.д. (далее - сведения информационного характера) размещаются: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https://tymskoe-r69.gosweb.gosuslugi.ru/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- ЕПГУ): </w:t>
      </w:r>
      <w:r>
        <w:rPr>
          <w:rFonts w:ascii="Times New Roman" w:hAnsi="Times New Roman" w:cs="Times New Roman"/>
          <w:sz w:val="24"/>
          <w:szCs w:val="24"/>
        </w:rPr>
        <w:t xml:space="preserve">www.gosuslugi.ru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Стандарт предоставления муниципальной услуги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наименование муниципальной услуги: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«Присвоение адреса объекту адресации, изменение и аннулирование такого адреса».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 муниципальной услуги не устанавливается.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Тымского сельского поселения Каргасокского района Томской области (далее – Администрация).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Услуги Администрация взаимодействует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оператором федеральной информационной адресной системы – Федеральной налоговой службой (далее - Оператор ФИАС);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органом исполнительной власти,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12" w:tooltip="consultantplus://offline/ref=48C94BD3BCB6F6D1411AF19C2503BD462353BEE916BB41905EB786DD829D5E9C8F8BEFD7D335CB2333BBFAC261a0NAI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публично-правовой компании "</w:t>
      </w:r>
      <w:r>
        <w:rPr>
          <w:rFonts w:ascii="Times New Roman" w:hAnsi="Times New Roman" w:cs="Times New Roman"/>
          <w:sz w:val="24"/>
          <w:szCs w:val="24"/>
        </w:rPr>
        <w:t xml:space="preserve">Роскадастр</w:t>
      </w:r>
      <w:r>
        <w:rPr>
          <w:rFonts w:ascii="Times New Roman" w:hAnsi="Times New Roman" w:cs="Times New Roman"/>
          <w:sz w:val="24"/>
          <w:szCs w:val="24"/>
        </w:rPr>
        <w:t xml:space="preserve">", в порядке межведомственного информационного взаимодействия по запросу уполномоченного органа;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</w:t>
      </w:r>
      <w:r>
        <w:rPr>
          <w:rFonts w:ascii="Times New Roman" w:hAnsi="Times New Roman" w:cs="Times New Roman"/>
          <w:sz w:val="24"/>
          <w:szCs w:val="24"/>
        </w:rPr>
        <w:t xml:space="preserve">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tooltip="consultantplus://offline/ref=4327132A102B0E442457E2FBBE8907790799C29BE0D022CAC83E239E2E980194CF928DE7BE260DD17DF79AF8FA8C877E2FBAB709hCw6L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Правил;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получение Услуги с комплектом документов принимается: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явке;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явки, в электронной форме: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ЕПГУ,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телефону - в Администрации.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в пределах установленного в Администрации графика приема заявителей.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личности заявителя может осуществляться в ходе личного приема посредством пр</w:t>
      </w:r>
      <w:r>
        <w:rPr>
          <w:rFonts w:ascii="Times New Roman" w:hAnsi="Times New Roman" w:cs="Times New Roman"/>
          <w:sz w:val="24"/>
          <w:szCs w:val="24"/>
        </w:rPr>
        <w:t xml:space="preserve">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технологий, </w:t>
      </w:r>
      <w:r>
        <w:rPr>
          <w:rFonts w:ascii="Times New Roman" w:hAnsi="Times New Roman"/>
          <w:sz w:val="24"/>
          <w:szCs w:val="24"/>
          <w:lang w:eastAsia="zh-CN"/>
        </w:rPr>
        <w:t xml:space="preserve">указанных в частях 10 и 11 статьи 7 Федерального закона от 27.07.2010 № 210-ФЗ «Об организации</w:t>
      </w:r>
      <w:r>
        <w:rPr>
          <w:rFonts w:ascii="Times New Roman" w:hAnsi="Times New Roman"/>
          <w:sz w:val="24"/>
          <w:szCs w:val="24"/>
          <w:lang w:eastAsia="zh-CN"/>
        </w:rPr>
        <w:t xml:space="preserve"> предоставления государственных и муниципальных </w:t>
      </w:r>
      <w:r>
        <w:rPr>
          <w:rFonts w:ascii="Times New Roman" w:hAnsi="Times New Roman"/>
          <w:sz w:val="24"/>
          <w:szCs w:val="24"/>
          <w:lang w:eastAsia="zh-CN"/>
        </w:rPr>
        <w:t xml:space="preserve">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возможности).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 электронной форме идентификация и аутентификация могут осуществляться посредством: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единой системы идентификац</w:t>
      </w:r>
      <w:r>
        <w:rPr>
          <w:rFonts w:ascii="Times New Roman" w:hAnsi="Times New Roman" w:cs="Times New Roman"/>
          <w:sz w:val="24"/>
          <w:szCs w:val="24"/>
        </w:rPr>
        <w:t xml:space="preserve">ии и ау</w:t>
      </w:r>
      <w:r>
        <w:rPr>
          <w:rFonts w:ascii="Times New Roman" w:hAnsi="Times New Roman" w:cs="Times New Roman"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предоставленным биометрическим персональным данным физического лица.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2.3. Результат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предоставления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адреса объекту адресации </w:t>
      </w:r>
      <w:r>
        <w:rPr>
          <w:rFonts w:ascii="Times New Roman" w:hAnsi="Times New Roman" w:cs="Times New Roman"/>
          <w:sz w:val="24"/>
          <w:szCs w:val="24"/>
        </w:rPr>
        <w:t xml:space="preserve">с приложением выписки из государственного адресного реестра об адресе объекта адресации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>
        <w:rPr>
          <w:rFonts w:ascii="Times New Roman" w:hAnsi="Times New Roman" w:cs="Times New Roman"/>
          <w:sz w:val="24"/>
          <w:szCs w:val="24"/>
        </w:rPr>
        <w:t xml:space="preserve">с приложением уведомления об отсутствии сведений в государственном адресном реестре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3) выдача (направление) решения Уполномоченного органа об отказе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в присвоении объекту адресации адреса или аннулировании его адреса.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явки, в электронной форме: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ЕПГУ;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посредством портала адресной системы.</w:t>
      </w:r>
      <w:r/>
    </w:p>
    <w:p>
      <w:pPr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</w:t>
      </w:r>
      <w:r>
        <w:rPr>
          <w:rFonts w:ascii="Times New Roman" w:hAnsi="Times New Roman" w:cs="Times New Roman"/>
          <w:sz w:val="24"/>
          <w:szCs w:val="24"/>
        </w:rPr>
        <w:t xml:space="preserve">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</w:t>
      </w:r>
      <w:r>
        <w:rPr>
          <w:rFonts w:ascii="Times New Roman" w:hAnsi="Times New Roman" w:cs="Times New Roman"/>
          <w:sz w:val="24"/>
          <w:szCs w:val="24"/>
        </w:rPr>
        <w:t xml:space="preserve">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</w:t>
      </w:r>
      <w:r>
        <w:rPr>
          <w:rFonts w:ascii="Times New Roman" w:hAnsi="Times New Roman" w:cs="Times New Roman"/>
          <w:sz w:val="24"/>
          <w:szCs w:val="24"/>
        </w:rPr>
        <w:t xml:space="preserve">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услуг».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 xml:space="preserve">2.4. 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Срок предоставления услуги.</w:t>
      </w:r>
      <w:r/>
    </w:p>
    <w:p>
      <w:pPr>
        <w:pStyle w:val="90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случае подачи заявления на бумажном носителе – в срок не более 10 рабочих </w:t>
      </w:r>
      <w:r>
        <w:rPr>
          <w:rFonts w:ascii="Times New Roman" w:hAnsi="Times New Roman"/>
          <w:sz w:val="24"/>
          <w:szCs w:val="24"/>
        </w:rPr>
        <w:t xml:space="preserve">дней со дня поступления заявления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pStyle w:val="90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случае подачи заявления в форме электронного документа – в срок не более 5 рабочих дней со дня поступления заявления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2.5. Правовые основания для предоставления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слуги.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слуги:</w:t>
      </w:r>
      <w:r/>
    </w:p>
    <w:p>
      <w:pPr>
        <w:pStyle w:val="904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Градостроительный кодекс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Российской Федерации; 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 кадастровой деятельности»;</w:t>
      </w:r>
      <w:r/>
    </w:p>
    <w:p>
      <w:pPr>
        <w:pStyle w:val="904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Федеральный закон «О государственной регистрации недвижимости»;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Правила присвоения, изменения и аннулирования адресов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19 ноября 2014 г. № 1221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Приказ Министерства финансов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ого самоуправления, физическим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 юридическим лицам, в том числе посредством обеспечения доступа к федеральной информационной адресной системе»;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Приказ Министерства финансов Российской Федерации от 11 декабря 2014 г. № 146н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слуги, подлежащих представлению заявителем: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1) предоставление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осуществляется на основании заполненного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 подписанного Заявителем заявления.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Форма заявления установлена приложением № 1 к приказу Министерства финансов Российской Федерации от 11 декабря 2014 г. № 146н. Справочно форма данного заявления приведена в Приложении № 1 к настоящему регламенту.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</w:t>
      </w:r>
      <w:r>
        <w:rPr>
          <w:rFonts w:ascii="Times New Roman" w:hAnsi="Times New Roman" w:cs="Times New Roman"/>
          <w:sz w:val="24"/>
          <w:szCs w:val="24"/>
        </w:rPr>
        <w:t xml:space="preserve">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(функций), портала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в информационно-телекоммуникационной сети "Интернет".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представляется в уполномоченный орган или многофункциональный центр по месту нахождения объекта адресации.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en-US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подписывается заявителем либо представителем заявителя.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tooltip="consultantplus://offline/ref=8773401006FB6813A9880685D75C2FEC50575505B8429F6730283175EED47A2FA47C5E4FBDB9FDD73F1EE326C9696A7A690622I9lAM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2 статьи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tooltip="consultantplus://offline/ref=8773401006FB6813A9880685D75C2FEC50565107BD469F6730283175EED47A2FA47C5E48B0E8A7C73B57B428D56A72646D18229897I1l0M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</w:t>
      </w:r>
      <w:r>
        <w:rPr>
          <w:rFonts w:ascii="Times New Roman" w:hAnsi="Times New Roman" w:cs="Times New Roman"/>
          <w:sz w:val="24"/>
          <w:szCs w:val="24"/>
        </w:rPr>
        <w:t xml:space="preserve">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tooltip="consultantplus://offline/ref=8773401006FB6813A9880685D75C2FEC50565706BA439F6730283175EED47A2FA47C5E4DB6EDAF906C18B574933C61666818209E8B10BBF4I1l1M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tooltip="consultantplus://offline/ref=8773401006FB6813A9880685D75C2FEC50565706BA439F6730283175EED47A2FA47C5E4FB1EBA7C73B57B428D56A72646D18229897I1l0M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42.3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</w:t>
      </w:r>
      <w:r>
        <w:rPr>
          <w:rFonts w:ascii="Times New Roman" w:hAnsi="Times New Roman" w:cs="Times New Roman"/>
          <w:sz w:val="24"/>
          <w:szCs w:val="24"/>
        </w:rPr>
        <w:t xml:space="preserve">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правоустанавливающие и (или) </w:t>
      </w:r>
      <w:r>
        <w:rPr>
          <w:rFonts w:ascii="Times New Roman" w:hAnsi="Times New Roman" w:cs="Times New Roman"/>
          <w:sz w:val="24"/>
          <w:szCs w:val="24"/>
        </w:rPr>
        <w:t xml:space="preserve">правоудостоверяющие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7) решение собрания собственников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помещений в многоквартирном доме в случае обращения с заявлением представителя, уполномоченного таким решением;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8) 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eastAsia="en-US"/>
        </w:rPr>
        <w:t xml:space="preserve">2.7.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слуги, находящихся в распоряжении государственных органов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Услуги) и подлежащих представлению в рамках межведомственного информационного взаимодействия: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а) правоустанавливающие и (или)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правоудостоверяющие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документы на объект (объекты) адресации (в случае присвоения адреса зданию (строению)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br/>
        <w:t xml:space="preserve">или сооружению, в том числе строительство которых не завершено, в соответствии с Градостроительным </w:t>
      </w:r>
      <w:hyperlink r:id="rId18" w:tooltip="consultantplus://offline/ref=FE66DDC95A099CA2ECE7595E4F0A48608736638E22678E65D388DBF4BAC3E422B64A1B3799ED252A06E3FE32C3qFcFK" w:history="1">
        <w:r>
          <w:rPr>
            <w:rFonts w:ascii="Times New Roman" w:hAnsi="Times New Roman" w:eastAsia="Calibri" w:cs="Times New Roman"/>
            <w:bCs/>
            <w:sz w:val="24"/>
            <w:szCs w:val="24"/>
            <w:lang w:eastAsia="en-US"/>
          </w:rPr>
          <w:t xml:space="preserve">кодексом</w:t>
        </w:r>
      </w:hyperlink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Российской Федерации для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строительства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правоудостоверяющие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б) выписки из Единого государственного реестра недвижимости об объектах недвижимости, следствием преобразования которых является образование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одного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br/>
        <w:t xml:space="preserve">и более объекта адресации (в случае преобразования объектов недвижимости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br/>
        <w:t xml:space="preserve">с образованием одного и более новых объектов адресации);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в) 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tooltip="consultantplus://offline/ref=FE66DDC95A099CA2ECE7595E4F0A48608736638E22678E65D388DBF4BAC3E422B64A1B3799ED252A06E3FE32C3qFcFK" w:history="1">
        <w:r>
          <w:rPr>
            <w:rFonts w:ascii="Times New Roman" w:hAnsi="Times New Roman" w:eastAsia="Calibri" w:cs="Times New Roman"/>
            <w:bCs/>
            <w:sz w:val="24"/>
            <w:szCs w:val="24"/>
            <w:lang w:eastAsia="en-US"/>
          </w:rPr>
          <w:t xml:space="preserve">кодексом</w:t>
        </w:r>
      </w:hyperlink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г) схема расположения объекта адресации на кадастровом плане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br/>
        <w:t xml:space="preserve">или кадастровой карте соответствующей территории (в случае присвоения земельному участку адреса);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д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е) решение органа местного самоуправления о переводе жилого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br/>
        <w:t xml:space="preserve">(в случае преобразования объектов недвижимости (помещений) с образованием одного и более новых объектов адресации);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з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tooltip="consultantplus://offline/ref=FE66DDC95A099CA2ECE7595E4F0A48608738688A2B628E65D388DBF4BAC3E422A44A43389FE36F7B4BA8F133C4E0D22060EA9F3Aq7c1K" w:history="1">
        <w:r>
          <w:rPr>
            <w:rFonts w:ascii="Times New Roman" w:hAnsi="Times New Roman" w:eastAsia="Calibri" w:cs="Times New Roman"/>
            <w:bCs/>
            <w:sz w:val="24"/>
            <w:szCs w:val="24"/>
            <w:lang w:eastAsia="en-US"/>
          </w:rPr>
          <w:t xml:space="preserve">подпункте «а» пункта 14</w:t>
        </w:r>
      </w:hyperlink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Правил);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tooltip="consultantplus://offline/ref=FE66DDC95A099CA2ECE7595E4F0A48608738688A2B628E65D388DBF4BAC3E422A44A43389FE36F7B4BA8F133C4E0D22060EA9F3Aq7c1K" w:history="1">
        <w:r>
          <w:rPr>
            <w:rFonts w:ascii="Times New Roman" w:hAnsi="Times New Roman" w:eastAsia="Calibri" w:cs="Times New Roman"/>
            <w:bCs/>
            <w:sz w:val="24"/>
            <w:szCs w:val="24"/>
            <w:lang w:eastAsia="en-US"/>
          </w:rPr>
          <w:t xml:space="preserve">подпункте «а» пункта 14</w:t>
        </w:r>
      </w:hyperlink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Правил).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2.7.1. </w:t>
      </w:r>
      <w:r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 (сведения), указанные в </w:t>
      </w:r>
      <w:hyperlink w:tooltip="#P231" w:anchor="P231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документы, указанные в </w:t>
      </w:r>
      <w:hyperlink r:id="rId22" w:tooltip="consultantplus://offline/ref=FCCF22C2CC153EBF82085F1C10AA7DCF3FA89DBE92AAC43A82AA25BFADCEBB2EDD5DAD42E26731539B081C80046F933F439BC6BAuDd7I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подпунктах "а",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consultantplus://offline/ref=FCCF22C2CC153EBF82085F1C10AA7DCF3FA89DBE92AAC43A82AA25BFADCEBB2EDD5DAD42E06731539B081C80046F933F439BC6BAuDd7I" w:history="1">
        <w:r>
          <w:rPr>
            <w:rFonts w:ascii="Times New Roman" w:hAnsi="Times New Roman" w:cs="Times New Roman"/>
            <w:sz w:val="24"/>
            <w:szCs w:val="24"/>
          </w:rPr>
          <w:t xml:space="preserve"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consultantplus://offline/ref=FCCF22C2CC153EBF82085F1C10AA7DCF3FA89DBE92AAC43A82AA25BFADCEBB2EDD5DAD47E36C6403DF5645D042249E3F5F87C6B9CA6E48D6u2d8I" w:history="1">
        <w:r>
          <w:rPr>
            <w:rFonts w:ascii="Times New Roman" w:hAnsi="Times New Roman" w:cs="Times New Roman"/>
            <w:sz w:val="24"/>
            <w:szCs w:val="24"/>
          </w:rPr>
          <w:t xml:space="preserve"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consultantplus://offline/ref=FCCF22C2CC153EBF82085F1C10AA7DCF3FA89DBE92AAC43A82AA25BFADCEBB2EDD5DAD47E36C6403DD5645D042249E3F5F87C6B9CA6E48D6u2d8I" w:history="1">
        <w:r>
          <w:rPr>
            <w:rFonts w:ascii="Times New Roman" w:hAnsi="Times New Roman" w:cs="Times New Roman"/>
            <w:sz w:val="24"/>
            <w:szCs w:val="24"/>
          </w:rPr>
          <w:t xml:space="preserve">"е"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consultantplus://offline/ref=FCCF22C2CC153EBF82085F1C10AA7DCF3FA89DBE92AAC43A82AA25BFADCEBB2EDD5DAD47E36C6403DC5645D042249E3F5F87C6B9CA6E48D6u2d8I" w:history="1">
        <w:r>
          <w:rPr>
            <w:rFonts w:ascii="Times New Roman" w:hAnsi="Times New Roman" w:cs="Times New Roman"/>
            <w:sz w:val="24"/>
            <w:szCs w:val="24"/>
          </w:rPr>
          <w:t xml:space="preserve">"ж" пункта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7" w:tooltip="consultantplus://offline/ref=FCCF22C2CC153EBF82085F1C10AA7DCF3FAB99BF9FA7C43A82AA25BFADCEBB2EDD5DAD45E83834468A501083187192205F99C4uBdBI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2 статьи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</w:t>
      </w:r>
      <w:hyperlink r:id="rId28" w:tooltip="consultantplus://offline/ref=FCCF22C2CC153EBF82085F1C10AA7DCF3FA89DBE92AAC43A82AA25BFADCEBB2EDD5DAD47E36C6403DC5645D042249E3F5F87C6B9CA6E48D6u2d8I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2.7.2.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слуги запрещается требовать от Заявителя: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tooltip="consultantplus://offline/ref=6D7E2309C4E244324232B519C07FCB86A8026C0ACFD7F668A6961A2321D10FF6ABE7BA1E8E0C96CE58A448C52DFFB6EA7F60685BtBs6L" w:history="1">
        <w:r>
          <w:rPr>
            <w:rFonts w:ascii="Times New Roman" w:hAnsi="Times New Roman" w:cs="Times New Roman"/>
            <w:sz w:val="24"/>
            <w:szCs w:val="24"/>
          </w:rPr>
          <w:t xml:space="preserve"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</w:t>
      </w:r>
      <w:r>
        <w:rPr>
          <w:rFonts w:ascii="Times New Roman" w:hAnsi="Times New Roman" w:cs="Times New Roman"/>
          <w:sz w:val="24"/>
          <w:szCs w:val="24"/>
        </w:rPr>
        <w:t xml:space="preserve">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30" w:tooltip="consultantplus://offline/ref=6D7E2309C4E244324232B519C07FCB86A8026C0ACFD7F668A6961A2321D10FF6ABE7BA1B8D07C29A1A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части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</w:t>
      </w:r>
      <w:r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tooltip="consultantplus://offline/ref=6D7E2309C4E244324232B519C07FCB86A8026C0ACFD7F668A6961A2321D10FF6ABE7BA188407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2" w:tooltip="consultantplus://offline/ref=6D7E2309C4E244324232B519C07FCB86A8026C0ACFD7F668A6961A2321D10FF6ABE7BA19880E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7.2 части 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contextualSpacing/>
        <w:ind w:firstLine="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Ис</w:t>
      </w:r>
      <w:r>
        <w:rPr>
          <w:rFonts w:ascii="Times New Roman" w:hAnsi="Times New Roman" w:cs="Times New Roman"/>
          <w:sz w:val="24"/>
          <w:szCs w:val="24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не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/>
    </w:p>
    <w:p>
      <w:pPr>
        <w:pStyle w:val="90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 не предусмотрены.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2.10. 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Основаниями для отказа в предоставлении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являются случаи, перечисленные в пункте 40 Правил: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Заявление подано лицом, не уполномоченным на осуществление таких действий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а) с заявлением обратилось лицо, не указанное в пункте 1.2 настоящего Регламента;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права на предоставление услуги: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б) ответ на межведомственный запрос свидетельствует об отсутствии документа и (или) информации,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необходимых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в) документы, 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права на предоставление муниципальной услуги: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г) отсутствуют случаи и условия для присвоения объекту адресации адреса или аннулирования его адреса, указанные в </w:t>
      </w:r>
      <w:hyperlink r:id="rId33" w:tooltip="consultantplus://offline/ref=E1D7484EA75B0DB2EA7720A5E2C985B4ABD1FEB12C3FFF23F8129C7A8FF17577E9CA8EF468EBF3555DC975217DE6EBF8D134386DD231BD657ESDM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пунктах 5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hyperlink r:id="rId34" w:tooltip="consultantplus://offline/ref=E1D7484EA75B0DB2EA7720A5E2C985B4ABD1FEB12C3FFF23F8129C7A8FF17577E9CA8EF468EBF35457C975217DE6EBF8D134386DD231BD657ESDM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8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 - </w:t>
      </w:r>
      <w:hyperlink r:id="rId35" w:tooltip="consultantplus://offline/ref=E1D7484EA75B0DB2EA7720A5E2C985B4ABD1FEB12C3FFF23F8129C7A8FF17577E9CA8EF468EBF35351C975217DE6EBF8D134386DD231BD657ESDM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11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</w:t>
      </w:r>
      <w:hyperlink r:id="rId36" w:tooltip="consultantplus://offline/ref=E1D7484EA75B0DB2EA7720A5E2C985B4ABD1FEB12C3FFF23F8129C7A8FF17577E9CA8EF468EBF3535CC975217DE6EBF8D134386DD231BD657ESDM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14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 - </w:t>
      </w:r>
      <w:hyperlink r:id="rId37" w:tooltip="consultantplus://offline/ref=E1D7484EA75B0DB2EA7720A5E2C985B4ABD1FEB12C3FFF23F8129C7A8FF17577E9CA8EF468EBF35251C975217DE6EBF8D134386DD231BD657ESDM" w:history="1">
        <w:r>
          <w:rPr>
            <w:rFonts w:ascii="Times New Roman" w:hAnsi="Times New Roman" w:eastAsia="Calibri" w:cs="Times New Roman"/>
            <w:sz w:val="24"/>
            <w:szCs w:val="24"/>
            <w:lang w:eastAsia="en-US"/>
          </w:rPr>
          <w:t xml:space="preserve">18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Правил.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Услуга предоставляется бесплатно.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составляет не более 15 минут.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Срок регистрации заявления о предоставлении Услуги составляет в ОМСУ: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заявления на бумажном носителе из МФЦ в ОМСУ - в день передачи документов из МФЦ в ОМСУ;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при наличии технической возможности -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</w:t>
      </w:r>
      <w:r>
        <w:rPr>
          <w:rFonts w:ascii="Times New Roman" w:hAnsi="Times New Roman" w:cs="Times New Roman"/>
          <w:sz w:val="24"/>
          <w:szCs w:val="24"/>
        </w:rPr>
        <w:t xml:space="preserve">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осуществляется в специально выделенных</w:t>
      </w:r>
      <w:r>
        <w:rPr>
          <w:rFonts w:ascii="Times New Roman" w:hAnsi="Times New Roman" w:cs="Times New Roman"/>
          <w:sz w:val="24"/>
          <w:szCs w:val="24"/>
        </w:rPr>
        <w:t xml:space="preserve"> для этих целей помещениях ОМСУ</w:t>
      </w:r>
      <w:r>
        <w:rPr>
          <w:rFonts w:ascii="Times New Roman" w:hAnsi="Times New Roman" w:cs="Times New Roman"/>
          <w:sz w:val="24"/>
          <w:szCs w:val="24"/>
        </w:rPr>
        <w:t xml:space="preserve"> или в МФЦ.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</w:t>
      </w:r>
      <w:r>
        <w:rPr>
          <w:rFonts w:ascii="Times New Roman" w:hAnsi="Times New Roman" w:cs="Times New Roman"/>
          <w:sz w:val="24"/>
          <w:szCs w:val="24"/>
        </w:rPr>
        <w:t xml:space="preserve"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 w:cs="Times New Roman"/>
          <w:sz w:val="24"/>
          <w:szCs w:val="24"/>
        </w:rPr>
        <w:t xml:space="preserve">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тифлосурдопереводчика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2.14.10. Оборудование мест повышенного удобства с дополнительным местом для собаки-проводника и устрой</w:t>
      </w:r>
      <w:r>
        <w:rPr>
          <w:rFonts w:ascii="Times New Roman" w:hAnsi="Times New Roman" w:cs="Times New Roman"/>
          <w:sz w:val="24"/>
          <w:szCs w:val="24"/>
        </w:rPr>
        <w:t xml:space="preserve">ств дл</w:t>
      </w:r>
      <w:r>
        <w:rPr>
          <w:rFonts w:ascii="Times New Roman" w:hAnsi="Times New Roman" w:cs="Times New Roman"/>
          <w:sz w:val="24"/>
          <w:szCs w:val="24"/>
        </w:rPr>
        <w:t xml:space="preserve">я передвижения инвалида (костылей, ходунков).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2.14.11. Характеристики по</w:t>
      </w:r>
      <w:r>
        <w:rPr>
          <w:rFonts w:ascii="Times New Roman" w:hAnsi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и информацию о часах приема заявлений.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(общие, применимые в отношении всех заявителей):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</w:t>
      </w:r>
      <w:r>
        <w:rPr>
          <w:rFonts w:ascii="Times New Roman" w:hAnsi="Times New Roman" w:cs="Times New Roman"/>
          <w:sz w:val="24"/>
          <w:szCs w:val="24"/>
        </w:rPr>
        <w:t xml:space="preserve">слуга;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слуге в ОМСУ, МФЦ, по телефону, на официальном сайте органа, предоставляющего услугу, посредством ЕПГУ;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любым доступным способом, предусмотренным действующим законодательством;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с использованием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(специальные, применимые в отношении инвалидов):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tooltip="#P341" w:anchor="P341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</w:t>
      </w:r>
      <w:r>
        <w:rPr>
          <w:rFonts w:ascii="Times New Roman" w:hAnsi="Times New Roman" w:cs="Times New Roman"/>
          <w:sz w:val="24"/>
          <w:szCs w:val="24"/>
        </w:rPr>
        <w:t xml:space="preserve">слуга.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слуги: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заявления и получении результата;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ОМСУ или работникам МФЦ при подаче документов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не более одного обращения при получении результата в ОМСУ или в МФЦ;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бездействие должностных лиц ОМСУ, поданных в установленном порядке.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 Получение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не требуется.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 электронной форме.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по экстерриториальному принципу не предусмотрено.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 электронной форме осуществляется при технической реализации услуги посредством ЕПГУ.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  <w:outlineLvl w:val="0"/>
      </w:pPr>
      <w:r/>
      <w:bookmarkStart w:id="1" w:name="_Toc82775002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</w:t>
      </w:r>
      <w:r/>
    </w:p>
    <w:p>
      <w:pPr>
        <w:pStyle w:val="904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3.1.1.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Предоставление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включает в себя следующие административные процедуры: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- в день  поступления заявления;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межведомственных запросов документов, перечисленных в пункте 2.7 настоящего регламента,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посредством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единой системы межведомственного электронного взаимодействия (далее – СМЭВ)</w:t>
      </w:r>
      <w:r>
        <w:rPr>
          <w:rFonts w:ascii="Times New Roman" w:hAnsi="Times New Roman" w:cs="Times New Roman"/>
          <w:sz w:val="24"/>
          <w:szCs w:val="24"/>
        </w:rPr>
        <w:t xml:space="preserve"> - в день поступления заявления;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 получение сведений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документов посредством СМЭВ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виде);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 - в течение 1 рабочего дня, следующего за днем поступления документов;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внесение результата оказания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в государственный адресный реестр – 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дня, следующего за днем поступления документов;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результата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-  в течение 1 рабочего дня, следующего за днем принятия решения.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 Основание для начала административной процедуры: поступление в ОМСУ заявления и документов, предусмотренных пунктом 2.7 настоящего регламента;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должностное лицо ОМСУ осуществляет регистрацию заявления в соответствии с правилами делопроизводства в день его получения;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административного действия: должностное лицо ОМСУ, ответственное за делопроизводство;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принятие решений не требуется;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регистрация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передача специалисту ОМСУ, ответственному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за предоставление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муниципальной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(далее -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ОМСУ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 Направление межведомственных запросов документов, перечисленных в пункте 2.7 настоящего регламента,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посредством СМЭВ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 Основание для начала административной процедуры: поступление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ответственному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ОМСУ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</w:t>
      </w:r>
      <w:r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ОМСУ осуществляет подготовку и направление запросов документов, перечисленных в пункте 2.7 настоящего регламента,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посредством СМЭВ, </w:t>
      </w:r>
      <w:r>
        <w:rPr>
          <w:rFonts w:ascii="Times New Roman" w:hAnsi="Times New Roman" w:cs="Times New Roman"/>
          <w:sz w:val="24"/>
          <w:szCs w:val="24"/>
        </w:rPr>
        <w:t xml:space="preserve">в органах государственной власти, органах местного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r>
        <w:rPr>
          <w:rFonts w:ascii="Times New Roman" w:hAnsi="Times New Roman" w:cs="Times New Roman"/>
          <w:sz w:val="24"/>
          <w:szCs w:val="24"/>
        </w:rPr>
        <w:t xml:space="preserve"> копии, сведения, содержащиеся в таких документах), в день поступления заявления;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административного действия: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ОМСУ;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Критерии принятия решения: 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перечисленных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</w:t>
      </w:r>
      <w:hyperlink r:id="rId38" w:tooltip="consultantplus://offline/ref=7E7132DB228AA36DD625CAACA765D9D2CD5947A58889EAF79EC0D2320EAF7F1869ABDE457896AAC13F1DE8766D549781B91BA069727BB75B552FCC60kEQFO" w:history="1">
        <w:r>
          <w:rPr>
            <w:rStyle w:val="902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пункте 2.7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настоящего регламента, принимается решение о подготовке межведомственных запросов и их направлении в соответствующие органы;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перечисленных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</w:t>
      </w:r>
      <w:hyperlink r:id="rId39" w:tooltip="consultantplus://offline/ref=7E7132DB228AA36DD625CAACA765D9D2CD5947A58889EAF79EC0D2320EAF7F1869ABDE457896AAC13F1DE8766D549781B91BA069727BB75B552FCC60kEQFO" w:history="1">
        <w:r>
          <w:rPr>
            <w:rStyle w:val="902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пункте 2.7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настоящего регламента, принимается решение об отсутствии необходимости подготовки межведомственных запросов.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 регистрация  и направление межведомственных запросов.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Получение сведений и документов посредством СМЭВ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 Основание для начала административной процедуры: поступление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ответственному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ОМСУ сведений и документов, перечисленных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</w:t>
      </w:r>
      <w:hyperlink r:id="rId40" w:tooltip="consultantplus://offline/ref=7E7132DB228AA36DD625CAACA765D9D2CD5947A58889EAF79EC0D2320EAF7F1869ABDE457896AAC13F1DE8766D549781B91BA069727BB75B552FCC60kEQFO" w:history="1">
        <w:r>
          <w:rPr>
            <w:rStyle w:val="902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пункте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посредством СМЭВ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действия, продолжительность и (или) максимальный срок его выполнения: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ОМСУ осуществляет проверку поступления документов, перечисленных в пункте 2.7 настоящего регламента,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посредством СМЭВ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течение 3 рабочих дней, следующих за днем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межведомственных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запросов;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административного действия: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сотрудник</w:t>
      </w:r>
      <w:r>
        <w:rPr>
          <w:rFonts w:ascii="Times New Roman" w:hAnsi="Times New Roman" w:cs="Times New Roman"/>
          <w:sz w:val="24"/>
          <w:szCs w:val="24"/>
        </w:rPr>
        <w:t xml:space="preserve"> ОМСУ;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принятие решений не требуется;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поступление сведений и документов посредством СМЭВ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3.1.5.  Рассмотрение документов об оказании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поступление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ответственному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сотруднику</w:t>
      </w:r>
      <w:r>
        <w:rPr>
          <w:rFonts w:ascii="Times New Roman" w:hAnsi="Times New Roman" w:cs="Times New Roman"/>
          <w:sz w:val="24"/>
          <w:szCs w:val="24"/>
        </w:rPr>
        <w:t xml:space="preserve"> ОМСУ полного пакета документов, перечисленных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</w:t>
      </w:r>
      <w:hyperlink r:id="rId41" w:tooltip="consultantplus://offline/ref=7E7132DB228AA36DD625CAACA765D9D2CD5947A58889EAF79EC0D2320EAF7F1869ABDE457896AAC13F1DE8766D549781B91BA069727BB75B552FCC60kEQFO" w:history="1">
        <w:r>
          <w:rPr>
            <w:rStyle w:val="902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пунктах 2.6,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необходимых для 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</w:t>
      </w:r>
      <w:r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ОМСУ осуществляет рассмотрение документов, перечисленных </w:t>
      </w:r>
      <w:r>
        <w:rPr>
          <w:rFonts w:ascii="Times New Roman" w:hAnsi="Times New Roman" w:cs="Times New Roman"/>
          <w:sz w:val="24"/>
          <w:szCs w:val="24"/>
        </w:rPr>
        <w:t xml:space="preserve">в пунктах 2.6, 2.7 настоящего регламента,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необходимых для предоставления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наличие оснований для принятия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дня в течение 1 рабочего дня, следующего за днем поступления документов, перечисленных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</w:t>
      </w:r>
      <w:hyperlink r:id="rId42" w:tooltip="consultantplus://offline/ref=7E7132DB228AA36DD625CAACA765D9D2CD5947A58889EAF79EC0D2320EAF7F1869ABDE457896AAC13F1DE8766D549781B91BA069727BB75B552FCC60kEQFO" w:history="1">
        <w:r>
          <w:rPr>
            <w:rStyle w:val="902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пункте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регламента, в ОМСУ.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административного действия: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ответственный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сотрудник</w:t>
      </w:r>
      <w:r>
        <w:rPr>
          <w:rFonts w:ascii="Times New Roman" w:hAnsi="Times New Roman" w:cs="Times New Roman"/>
          <w:sz w:val="24"/>
          <w:szCs w:val="24"/>
        </w:rPr>
        <w:t xml:space="preserve"> ОМСУ;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решения: соответствие объекта адресации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требованиям к его составу, установленным пунктом 22 Правил, а также требованиям раздела </w:t>
      </w: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3.1.5.5. Результат выполнения административной процедуры: подготовка проекта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3.1.6.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внесение результата оказания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в государственный адресный реестр.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3.1.6.1. 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поступление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должностному лицу, ответственному за принятие решения проекта решения.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3.1.6.2. Критерии принятия решения: соответствие объекта адресации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требованиям к его составу, установленным пунктом 22 Правил, а также требованиям раздела </w:t>
      </w: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Окончательным результатом 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муниципальной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и юридическим лицам, в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том числе посредством обеспечения доступа к федеральной информационной адресной системе».</w:t>
      </w:r>
      <w:r>
        <w:rPr>
          <w:rFonts w:ascii="Times New Roman" w:hAnsi="Times New Roman" w:eastAsia="Calibri" w:cs="Times New Roman"/>
          <w:sz w:val="24"/>
          <w:szCs w:val="24"/>
          <w:highlight w:val="yellow"/>
          <w:lang w:eastAsia="en-US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Рекомендуемый образец формы решения о присвоении адреса объекту адресации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справочно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приведен в Приложении № 2 к настоящему регламенту.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Правил, а также требований раздела </w:t>
      </w: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Рекомендуемый образец формы решения об аннулировании адреса объекта адресации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справочно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приведен в Приложении № 3 к настоящему Регламенту.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Решение об отказе в присвоении объекту адресации адреса или аннулировании его адреса принимается Уполномоченным органом при наличии оснований, пе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 4 к настоящему регламенту.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3.1.6.3. </w:t>
      </w: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административного действия: уполномоченное на принятие решения должностное лицо.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3.1.6.4. Результат выполнения административной процедуры: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решения Уполномоченного органа о присвоении адреса объекту адресации, решения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Уполномоченного органа об аннулировании адреса объекта адресации (допускается объединение с решением о присвоении адреса объекту адресации))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решения Уполномоченного органа об отказе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в присвоении объекту адресации адреса или аннулировании его адреса)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внесение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результата оказания Услуги в государственный адресный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3.1.6.5.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 Выдача результата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3.1.7.1 Основание для начала административной процедуры: поступление должностному лицу </w:t>
      </w:r>
      <w:r>
        <w:rPr>
          <w:rFonts w:ascii="Times New Roman" w:hAnsi="Times New Roman" w:cs="Times New Roman"/>
          <w:sz w:val="24"/>
          <w:szCs w:val="24"/>
        </w:rPr>
        <w:t xml:space="preserve">ОМСУ, ответственному за делопроизводство, решения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3.1.7.2. Содержание административного действия, продолжительность и (или) максимальный срок его выполнения: должностное лицо ОМСУ, ответственное за делопроизводство осуществляет выдачу (направление) результата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заявителю - в течение 1 рабочего дня, следующего за днем принятия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3.1.7.3. Лицо, ответственное за выполнение административного действия: должностное лицо ОМСУ,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ответственное за делопроизводство;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3.1.7.4. Критерии принятия решения: отсутствуют.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3.1.7.5. Результат выполнения административной процедуры: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адреса объекту адресации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приложением выписки из государственного адресного реестра об адресе объекта адресации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приложением выписки из государственного адресного реестра об адресе объекта адресации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3) выдача (направление) решения Уполномоченного органа об отказе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в присвоении объекту адресации адреса или аннулировании его адреса.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3.2. Особенности выполнения административных процедур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на ЕПГУ осуществляется в соответствии с Федеральным </w:t>
      </w:r>
      <w:hyperlink r:id="rId43" w:tooltip="consultantplus://offline/ref=6D7E2309C4E244324232B519C07FCB86A8026C0ACFD7F668A6961A2321D10FF6B9E7E2178C00DC9F1AEF47C428tEs3L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210-ФЗ, Федеральным </w:t>
      </w:r>
      <w:hyperlink r:id="rId44" w:tooltip="consultantplus://offline/ref=6D7E2309C4E244324232B519C07FCB86AF0A620CCBDFF668A6961A2321D10FF6B9E7E2178C00DC9F1AEF47C428tEs3L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45" w:tooltip="consultantplus://offline/ref=6D7E2309C4E244324232B519C07FCB86A802610DCFDBF668A6961A2321D10FF6B9E7E2178C00DC9F1AEF47C428tEs3L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через ЕПГУ заявителю необходимо предварительно пройти процесс регистрации в Единой системе идентификац</w:t>
      </w:r>
      <w:r>
        <w:rPr>
          <w:rFonts w:ascii="Times New Roman" w:hAnsi="Times New Roman" w:cs="Times New Roman"/>
          <w:sz w:val="24"/>
          <w:szCs w:val="24"/>
        </w:rPr>
        <w:t xml:space="preserve">ии и ау</w:t>
      </w:r>
      <w:r>
        <w:rPr>
          <w:rFonts w:ascii="Times New Roman" w:hAnsi="Times New Roman" w:cs="Times New Roman"/>
          <w:sz w:val="24"/>
          <w:szCs w:val="24"/>
        </w:rPr>
        <w:t xml:space="preserve">тентификации (далее - ЕСИА).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</w:t>
      </w:r>
      <w:r>
        <w:rPr>
          <w:rFonts w:ascii="Times New Roman" w:hAnsi="Times New Roman" w:cs="Times New Roman"/>
          <w:sz w:val="24"/>
          <w:szCs w:val="24"/>
        </w:rPr>
        <w:t xml:space="preserve">слуга может быть получена через ЕПГУ без личной явки на прием в ОМСУ.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Для подачи заявления через ЕПГУ заявитель должен выполнить следующие действия: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идентификацию и аутентификацию в ЕСИА;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ЕПГУ заполнить в электронной форме заявление на оказание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электронные документы и направить пакет электронных документов в ОМСУ посредством функционала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через ЕПГУ должностное лицо ОМСУ выполняет следующие действия: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заявлении сре</w:t>
      </w:r>
      <w:r>
        <w:rPr>
          <w:rFonts w:ascii="Times New Roman" w:hAnsi="Times New Roman" w:cs="Times New Roman"/>
          <w:sz w:val="24"/>
          <w:szCs w:val="24"/>
        </w:rPr>
        <w:t xml:space="preserve">дств св</w:t>
      </w:r>
      <w:r>
        <w:rPr>
          <w:rFonts w:ascii="Times New Roman" w:hAnsi="Times New Roman" w:cs="Times New Roman"/>
          <w:sz w:val="24"/>
          <w:szCs w:val="24"/>
        </w:rPr>
        <w:t xml:space="preserve">язи, затем н</w:t>
      </w:r>
      <w:r>
        <w:rPr>
          <w:rFonts w:ascii="Times New Roman" w:hAnsi="Times New Roman" w:cs="Times New Roman"/>
          <w:sz w:val="24"/>
          <w:szCs w:val="24"/>
        </w:rPr>
        <w:t xml:space="preserve">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tooltip="#P183" w:anchor="P183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считается дата регистрации приема документов на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осуществляется в электронной форме через личный кабинет заявителя, расположенный на ЕПГУ.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ОМСУ при поступлении документов от заявителя посредством ЕПГУ по требованию заявителя направляет результат предоставления услуги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заявителю осуществляется в день регистрации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ОМСУ.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документах.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документах допущены опечатки и ошибки, то заявитель вправе представить в ОМСУ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МФЦ непосредственно, направить почтовым отправлением, посредством ЕПГУ </w:t>
      </w:r>
      <w:r>
        <w:rPr>
          <w:rFonts w:ascii="Times New Roman" w:hAnsi="Times New Roman" w:cs="Times New Roman"/>
          <w:sz w:val="24"/>
          <w:szCs w:val="24"/>
        </w:rPr>
        <w:t xml:space="preserve"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ошибок и приложением копии документа, содержащего опечатки и(или) ошибки.</w:t>
      </w:r>
      <w:r/>
    </w:p>
    <w:p>
      <w:pPr>
        <w:pStyle w:val="90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7 рабочих дней со дня регистрации заявления об исправлении опечаток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документах ответственный специалист ОМСУ устанавливает наличие опечатки (ошибки) и оформляет 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(документ) ОМСУ направляет способом, указанным в заявлении о необходимости исправления допущенных опечаток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ошибок.</w:t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регламента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проводятся плановые и внеплановые проверки.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</w:t>
      </w:r>
      <w:r>
        <w:rPr>
          <w:rFonts w:ascii="Times New Roman" w:hAnsi="Times New Roman" w:cs="Times New Roman"/>
          <w:sz w:val="24"/>
          <w:szCs w:val="24"/>
        </w:rPr>
        <w:t xml:space="preserve">проверки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проводятся  не реже одного раза в три </w:t>
      </w:r>
      <w:r>
        <w:rPr>
          <w:rFonts w:ascii="Times New Roman" w:hAnsi="Times New Roman" w:cs="Times New Roman"/>
          <w:sz w:val="24"/>
          <w:szCs w:val="24"/>
        </w:rPr>
        <w:t xml:space="preserve">месяца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планом проведения проверок, утвержденным руководителем ОМСУ.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(тематические проверки).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</w:t>
      </w:r>
      <w:r>
        <w:rPr>
          <w:rFonts w:ascii="Times New Roman" w:hAnsi="Times New Roman" w:cs="Times New Roman"/>
          <w:sz w:val="24"/>
          <w:szCs w:val="24"/>
        </w:rPr>
        <w:t xml:space="preserve">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ОМСУ несет персональную ответственность за обеспечение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</w:t>
      </w:r>
      <w:r>
        <w:rPr>
          <w:rFonts w:ascii="Times New Roman" w:hAnsi="Times New Roman" w:cs="Times New Roman"/>
          <w:sz w:val="24"/>
          <w:szCs w:val="24"/>
        </w:rPr>
        <w:t xml:space="preserve"> ОМСУ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несут персональную ответственность: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порядке, установленном действующим законодательством РФ.</w:t>
      </w:r>
      <w:r/>
    </w:p>
    <w:p>
      <w:pPr>
        <w:pStyle w:val="904"/>
        <w:jc w:val="center"/>
        <w:rPr>
          <w:rFonts w:ascii="Times New Roman" w:hAnsi="Times New Roman" w:cs="Times New Roman"/>
          <w:color w:val="ff0000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органа, предоставляющего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sz w:val="24"/>
          <w:szCs w:val="24"/>
        </w:rPr>
        <w:t xml:space="preserve">слугу, а также должностных лиц органа,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b/>
          <w:sz w:val="24"/>
          <w:szCs w:val="24"/>
        </w:rPr>
        <w:t xml:space="preserve">слугу,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либо муниципальных служащих,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муниципальных услуг, работника многофункционального центра</w:t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государственных и муниципальных услуг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многофункционального центра, работника многофункционального </w:t>
      </w:r>
      <w:r>
        <w:rPr>
          <w:rFonts w:ascii="Times New Roman" w:hAnsi="Times New Roman" w:cs="Times New Roman"/>
          <w:sz w:val="24"/>
          <w:szCs w:val="24"/>
        </w:rPr>
        <w:t xml:space="preserve">центра</w:t>
      </w:r>
      <w:r>
        <w:rPr>
          <w:rFonts w:ascii="Times New Roman" w:hAnsi="Times New Roman" w:cs="Times New Roman"/>
          <w:sz w:val="24"/>
          <w:szCs w:val="24"/>
        </w:rPr>
        <w:t xml:space="preserve"> в том числе являются: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запроса, указанного в </w:t>
      </w:r>
      <w:hyperlink r:id="rId46" w:tooltip="consultantplus://offline/ref=6D7E2309C4E244324232B519C07FCB86A8026C0ACFD7F668A6961A2321D10FF6ABE7BA188903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</w:t>
      </w:r>
      <w:r>
        <w:rPr>
          <w:rFonts w:ascii="Times New Roman" w:hAnsi="Times New Roman" w:cs="Times New Roman"/>
          <w:sz w:val="24"/>
          <w:szCs w:val="24"/>
        </w:rPr>
        <w:t xml:space="preserve">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hyperlink r:id="rId47" w:tooltip="consultantplus://offline/ref=6D7E2309C4E244324232B519C07FCB86A8026C0ACFD7F668A6961A2321D10FF6ABE7BA1B8D07C19A18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</w:t>
      </w:r>
      <w:r>
        <w:rPr>
          <w:rFonts w:ascii="Times New Roman" w:hAnsi="Times New Roman" w:cs="Times New Roman"/>
          <w:sz w:val="24"/>
          <w:szCs w:val="24"/>
        </w:rPr>
        <w:t xml:space="preserve">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у заявителя;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</w:t>
      </w:r>
      <w:r>
        <w:rPr>
          <w:rFonts w:ascii="Times New Roman" w:hAnsi="Times New Roman" w:cs="Times New Roman"/>
          <w:sz w:val="24"/>
          <w:szCs w:val="24"/>
        </w:rPr>
        <w:t xml:space="preserve">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hyperlink r:id="rId48" w:tooltip="consultantplus://offline/ref=6D7E2309C4E244324232B519C07FCB86A8026C0ACFD7F668A6961A2321D10FF6ABE7BA1B8D07C19A18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платы, не предусмотренной нормативными правовыми актами Российской Федерации, нормативными правовыми актами Томской области;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</w:t>
      </w:r>
      <w:r>
        <w:rPr>
          <w:rFonts w:ascii="Times New Roman" w:hAnsi="Times New Roman" w:cs="Times New Roman"/>
          <w:sz w:val="24"/>
          <w:szCs w:val="24"/>
        </w:rPr>
        <w:t xml:space="preserve">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49" w:tooltip="consultantplus://offline/ref=6D7E2309C4E244324232B519C07FCB86A8026C0ACFD7F668A6961A2321D10FF6ABE7BA1B8D07C19A18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>
          <w:rPr>
            <w:rFonts w:ascii="Times New Roman" w:hAnsi="Times New Roman" w:cs="Times New Roman"/>
            <w:sz w:val="24"/>
            <w:szCs w:val="24"/>
          </w:rPr>
          <w:t xml:space="preserve">1.3 </w:t>
        </w:r>
        <w:r>
          <w:rPr>
            <w:rFonts w:ascii="Times New Roman" w:hAnsi="Times New Roman" w:cs="Times New Roman"/>
            <w:sz w:val="24"/>
            <w:szCs w:val="24"/>
          </w:rPr>
          <w:t xml:space="preserve">    </w:t>
        </w:r>
        <w:r>
          <w:rPr>
            <w:rFonts w:ascii="Times New Roman" w:hAnsi="Times New Roman" w:cs="Times New Roman"/>
            <w:sz w:val="24"/>
            <w:szCs w:val="24"/>
          </w:rPr>
          <w:t xml:space="preserve">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27.07.2010 №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если ос</w:t>
      </w:r>
      <w:r>
        <w:rPr>
          <w:rFonts w:ascii="Times New Roman" w:hAnsi="Times New Roman" w:cs="Times New Roman"/>
          <w:sz w:val="24"/>
          <w:szCs w:val="24"/>
        </w:rPr>
        <w:t xml:space="preserve">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</w:t>
      </w:r>
      <w:r>
        <w:rPr>
          <w:rFonts w:ascii="Times New Roman" w:hAnsi="Times New Roman" w:cs="Times New Roman"/>
          <w:sz w:val="24"/>
          <w:szCs w:val="24"/>
        </w:rPr>
        <w:t xml:space="preserve">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 полном объеме в порядке, определенном </w:t>
      </w:r>
      <w:hyperlink r:id="rId50" w:tooltip="consultantplus://offline/ref=6D7E2309C4E244324232B519C07FCB86A8026C0ACFD7F668A6961A2321D10FF6ABE7BA1B8D07C19A18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 документов или информации, отсутствие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за исключением случаев, предусмотренных </w:t>
      </w:r>
      <w:hyperlink r:id="rId51" w:tooltip="consultantplus://offline/ref=6D7E2309C4E244324232B519C07FCB86A8026C0ACFD7F668A6961A2321D10FF6ABE7BA188407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</w:t>
      </w:r>
      <w:r>
        <w:rPr>
          <w:rFonts w:ascii="Times New Roman" w:hAnsi="Times New Roman" w:cs="Times New Roman"/>
          <w:sz w:val="24"/>
          <w:szCs w:val="24"/>
        </w:rPr>
        <w:t xml:space="preserve">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в полном объеме в порядке, определенном </w:t>
      </w:r>
      <w:hyperlink r:id="rId52" w:tooltip="consultantplus://offline/ref=6D7E2309C4E244324232B519C07FCB86A8026C0ACFD7F668A6961A2321D10FF6ABE7BA1B8D07C19A18FA11956EB4BBED667C685FAAF4A29BtFs6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услугу. 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услугу, муниципального служащего, руководителя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</w:t>
      </w:r>
      <w:r>
        <w:rPr>
          <w:rFonts w:ascii="Times New Roman" w:hAnsi="Times New Roman" w:cs="Times New Roman"/>
          <w:sz w:val="24"/>
          <w:szCs w:val="24"/>
        </w:rPr>
        <w:t xml:space="preserve">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53" w:tooltip="consultantplus://offline/ref=6D7E2309C4E244324232B519C07FCB86A8026C0ACFD7F668A6961A2321D10FF6ABE7BA1B8C05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части 5 статьи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жалобе в обязательном порядке указываются: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филиала, отдела, удаленного рабочего места ГБУ ЛО "МФЦ", его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cs="Times New Roman"/>
          <w:sz w:val="24"/>
          <w:szCs w:val="24"/>
        </w:rPr>
        <w:t xml:space="preserve">или) работника, решения и действия (бездействие) которых обжалуются;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филиала, отдела, удаленного рабочего места МФЦ, его работника;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4" w:tooltip="consultantplus://offline/ref=6D7E2309C4E244324232B519C07FCB86A8026C0ACFD7F668A6961A2321D10FF6ABE7BA188C0EC9CB4DB510C92BE6A8EC677C6A59B6tFs4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</w:t>
      </w:r>
      <w:r>
        <w:rPr>
          <w:rFonts w:ascii="Times New Roman" w:hAnsi="Times New Roman" w:cs="Times New Roman"/>
          <w:sz w:val="24"/>
          <w:szCs w:val="24"/>
        </w:rPr>
        <w:t xml:space="preserve">слугу, МФ в приеме документов у заявителя либо в исправлении допущенных опечаток и ошибок или в случае обжалования нарушения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 xml:space="preserve">слугу, многофункциональным центром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а также приносятся извинения за доставленные </w:t>
      </w:r>
      <w:r>
        <w:rPr>
          <w:rFonts w:ascii="Times New Roman" w:hAnsi="Times New Roman" w:cs="Times New Roman"/>
          <w:sz w:val="24"/>
          <w:szCs w:val="24"/>
        </w:rPr>
        <w:t xml:space="preserve">неудобства</w:t>
      </w:r>
      <w:r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 w:cs="Times New Roman"/>
          <w:sz w:val="24"/>
          <w:szCs w:val="24"/>
        </w:rPr>
        <w:t xml:space="preserve">жалобы</w:t>
      </w:r>
      <w:r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pStyle w:val="90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6. Особенности выполнения административных процедур</w:t>
      </w:r>
      <w:r/>
    </w:p>
    <w:p>
      <w:pPr>
        <w:pStyle w:val="9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центрах</w:t>
      </w:r>
      <w:r/>
    </w:p>
    <w:p>
      <w:pPr>
        <w:pStyle w:val="9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посредством МФЦ осуществляется в подразделениях МФЦ при наличии вступившего в силу соглашения о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взаимодействии между МФЦ и ОМСУ.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 иных МФЦ осуществляется при наличии вступившего в силу соглашения о взаимодействии между МФЦ и иным МФЦ.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выполняет следующие действия: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определяет предмет обращения;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проводит проверку правильности заполнения обращения;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проводит проверку укомплектованности пакета документов;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слугой;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направляет копии документов и реестр документов в ОМСУ: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электронной форме (в составе пакетов электронных дел) - в день обращения заявителя в МФЦ;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cs="Times New Roman"/>
          <w:sz w:val="24"/>
          <w:szCs w:val="24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МФЦ выдает заявителю расписку в </w:t>
      </w:r>
      <w:r>
        <w:rPr>
          <w:rFonts w:ascii="Times New Roman" w:hAnsi="Times New Roman" w:cs="Times New Roman"/>
          <w:sz w:val="24"/>
          <w:szCs w:val="24"/>
        </w:rPr>
        <w:t xml:space="preserve">приеме документов.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заявителю;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заявителю.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</w:t>
      </w:r>
      <w:r>
        <w:rPr>
          <w:rFonts w:ascii="Times New Roman" w:hAnsi="Times New Roman" w:cs="Times New Roman"/>
          <w:sz w:val="24"/>
          <w:szCs w:val="24"/>
        </w:rPr>
        <w:t xml:space="preserve">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смс-информирования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), а также о возможности получения документов в МФЦ.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P637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6.4. При вв</w:t>
      </w:r>
      <w:r>
        <w:rPr>
          <w:rFonts w:ascii="Times New Roman" w:hAnsi="Times New Roman" w:cs="Times New Roman"/>
          <w:sz w:val="24"/>
          <w:szCs w:val="24"/>
        </w:rPr>
        <w:t xml:space="preserve">оде безбумажного электронного документооборота административные процедуры регламентируются нормативным правовым актом Томской области, устанавливающим порядок электронного (безбумажного) документооборота в сфере государственных и муниципальных услуг.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/>
    </w:p>
    <w:p>
      <w:pPr>
        <w:jc w:val="center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</w:t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</w:t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«Присвоение адреса объекту адресации, изменение и аннулирование такого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адреса»</w:t>
      </w:r>
      <w:r/>
    </w:p>
    <w:p>
      <w:pPr>
        <w:pStyle w:val="9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 объекту адресации адреса </w:t>
      </w:r>
      <w:r/>
    </w:p>
    <w:p>
      <w:pPr>
        <w:pStyle w:val="9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аннулировании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адреса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>
        <w:trPr/>
        <w:tc>
          <w:tcPr>
            <w:gridSpan w:val="7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1331" w:type="dxa"/>
            <w:textDirection w:val="lrTb"/>
            <w:noWrap w:val="false"/>
          </w:tcPr>
          <w:p>
            <w:pPr>
              <w:pStyle w:val="904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4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11"/>
            <w:tcBorders>
              <w:left w:val="none" w:color="000000" w:sz="4" w:space="0"/>
              <w:right w:val="none" w:color="000000" w:sz="4" w:space="0"/>
            </w:tcBorders>
            <w:tcW w:w="90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</w:t>
            </w:r>
            <w:r/>
          </w:p>
        </w:tc>
        <w:tc>
          <w:tcPr>
            <w:tcW w:w="532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5"/>
            <w:tcBorders>
              <w:bottom w:val="none" w:color="000000" w:sz="4" w:space="0"/>
            </w:tcBorders>
            <w:tcW w:w="4118" w:type="dxa"/>
            <w:vMerge w:val="restart"/>
            <w:textDirection w:val="lrTb"/>
            <w:noWrap w:val="false"/>
          </w:tcPr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принято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_______________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заявления ___________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прилагаемых документов ____,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___, копий ____, количество листов в оригиналах ____, копиях ____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________________</w:t>
            </w:r>
            <w:r/>
          </w:p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____________</w:t>
            </w:r>
            <w:r/>
          </w:p>
        </w:tc>
      </w:tr>
      <w:tr>
        <w:trPr>
          <w:trHeight w:val="517"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864" w:type="dxa"/>
            <w:vMerge w:val="restart"/>
            <w:textDirection w:val="lrTb"/>
            <w:noWrap w:val="false"/>
          </w:tcPr>
          <w:p>
            <w:pPr>
              <w:pStyle w:val="904"/>
              <w:ind w:left="15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/>
          </w:p>
          <w:p>
            <w:pPr>
              <w:pStyle w:val="904"/>
              <w:ind w:left="15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Тымского сельского поселения</w:t>
            </w:r>
            <w:r/>
          </w:p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bottom w:val="none" w:color="000000" w:sz="4" w:space="0"/>
            </w:tcBorders>
            <w:tcW w:w="4118" w:type="dxa"/>
            <w:vMerge w:val="continue"/>
            <w:textDirection w:val="lrTb"/>
            <w:noWrap w:val="false"/>
          </w:tcPr>
          <w:p>
            <w:pPr>
              <w:ind w:firstLine="1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8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4118" w:type="dxa"/>
            <w:textDirection w:val="lrTb"/>
            <w:noWrap w:val="false"/>
          </w:tcPr>
          <w:p>
            <w:pPr>
              <w:pStyle w:val="90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gridSpan w:val="10"/>
            <w:tcW w:w="85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 отношении объекта адресации:</w:t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85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</w:t>
            </w:r>
            <w:r/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</w:t>
            </w:r>
            <w:r/>
          </w:p>
        </w:tc>
        <w:tc>
          <w:tcPr>
            <w:tcW w:w="435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967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Машино-место</w:t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96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(строение)</w:t>
            </w:r>
            <w:r/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43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96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96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gridSpan w:val="10"/>
            <w:tcW w:w="85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адрес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85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9"/>
            <w:tcW w:w="807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земель, находящихся в государственной или муниципальной собственности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85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раздела земельного участка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раздел которого осуществляется</w:t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раздел которого осуществляется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9"/>
            <w:tcW w:w="807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 путем объединения земельных участков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земельных участков</w:t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tooltip="#P609" w:anchor="P60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&lt;1&gt;</w:t>
              </w:r>
            </w:hyperlink>
            <w:r/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tooltip="#P609" w:anchor="P60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&lt;1&gt;</w:t>
              </w:r>
            </w:hyperlink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8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6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>
        <w:trPr/>
        <w:tc>
          <w:tcPr>
            <w:gridSpan w:val="4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4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4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6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10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выдела из земельного участка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из которого осуществляется выдел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из которого осуществляется выдел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10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перераспределения земельных участков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которые перераспределяются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который перераспределяется </w:t>
            </w:r>
            <w:hyperlink w:tooltip="#P610" w:anchor="P6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&lt;2&gt;</w:t>
              </w:r>
            </w:hyperlink>
            <w:r/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перераспределяется </w:t>
            </w:r>
            <w:hyperlink w:tooltip="#P610" w:anchor="P6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&lt;2&gt;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10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Строительством, реконструкцией здания (строения),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10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5" w:tooltip="consultantplus://offline/ref=99BED51A5210E022B30AA9549FC7166E9378FDCB625D41E1A4B33167D3D9417E6E7D54F821A500C95E2C33C5E0XB6C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(строения), сооружения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10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850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</w:t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3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69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>
        <w:trPr/>
        <w:tc>
          <w:tcPr>
            <w:gridSpan w:val="9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331" w:type="dxa"/>
            <w:textDirection w:val="lrTb"/>
            <w:noWrap w:val="false"/>
          </w:tcPr>
          <w:p>
            <w:pPr>
              <w:pStyle w:val="904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gridSpan w:val="2"/>
            <w:tcW w:w="1400" w:type="dxa"/>
            <w:textDirection w:val="lrTb"/>
            <w:noWrap w:val="false"/>
          </w:tcPr>
          <w:p>
            <w:pPr>
              <w:pStyle w:val="904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1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здания (строения),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16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</w:t>
            </w:r>
            <w:r/>
          </w:p>
        </w:tc>
        <w:tc>
          <w:tcPr>
            <w:gridSpan w:val="6"/>
            <w:tcW w:w="361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16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</w:t>
            </w:r>
            <w:r/>
          </w:p>
        </w:tc>
        <w:tc>
          <w:tcPr>
            <w:gridSpan w:val="6"/>
            <w:tcW w:w="361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079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tooltip="#P611" w:anchor="P6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&lt;3&gt;</w:t>
              </w:r>
            </w:hyperlink>
            <w:r/>
            <w:r/>
          </w:p>
        </w:tc>
        <w:tc>
          <w:tcPr>
            <w:gridSpan w:val="6"/>
            <w:tcW w:w="3024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tooltip="#P611" w:anchor="P6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&lt;3&gt;</w:t>
              </w:r>
            </w:hyperlink>
            <w:r/>
            <w:r/>
          </w:p>
        </w:tc>
        <w:tc>
          <w:tcPr>
            <w:gridSpan w:val="3"/>
            <w:tcW w:w="2394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tooltip="#P611" w:anchor="P6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&lt;3&gt;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07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02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(строении), сооружении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468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</w:t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3788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tooltip="#P612" w:anchor="P6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&lt;4&gt;</w:t>
              </w:r>
            </w:hyperlink>
            <w:r/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tooltip="#P612" w:anchor="P6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&lt;4&gt;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468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</w:t>
            </w:r>
            <w:r/>
          </w:p>
        </w:tc>
        <w:tc>
          <w:tcPr>
            <w:tcW w:w="3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3788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раздела здания,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машиномест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vAlign w:val="bottom"/>
            <w:textDirection w:val="lrTb"/>
            <w:noWrap w:val="false"/>
          </w:tcPr>
          <w:p>
            <w:pPr>
              <w:pStyle w:val="904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здании, сооружении путем раздела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bottom"/>
            <w:textDirection w:val="lrTb"/>
            <w:noWrap w:val="false"/>
          </w:tcPr>
          <w:p>
            <w:pPr>
              <w:pStyle w:val="904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которого осуществляется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vAlign w:val="bottom"/>
            <w:textDirection w:val="lrTb"/>
            <w:noWrap w:val="false"/>
          </w:tcPr>
          <w:p>
            <w:pPr>
              <w:pStyle w:val="904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объединения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center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tooltip="#P612" w:anchor="P6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&lt;4&gt;</w:t>
              </w:r>
            </w:hyperlink>
            <w:r/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tooltip="#P612" w:anchor="P6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&lt;4&gt;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center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машиномест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36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480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которого осуществлен в соответствии с Федеральным </w:t>
            </w:r>
            <w:hyperlink r:id="rId56" w:tooltip="consultantplus://offline/ref=99BED51A5210E022B30AA9549FC7166E9378FDCB6C5041E1A4B33167D3D9417E6E7D54F821A500C95E2C33C5E0XB6C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машино-место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Align w:val="center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машиноместа</w:t>
            </w:r>
            <w:r/>
          </w:p>
        </w:tc>
        <w:tc>
          <w:tcPr>
            <w:gridSpan w:val="6"/>
            <w:tcW w:w="4159" w:type="dxa"/>
            <w:vAlign w:val="center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машиноместа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71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57" w:tooltip="consultantplus://offline/ref=99BED51A5210E022B30AA9549FC7166E9378FDCB6C5041E1A4B33167D3D9417E6E7D54F821A500C95E2C33C5E0XB6C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машиноместа</w:t>
            </w:r>
            <w:r/>
          </w:p>
        </w:tc>
        <w:tc>
          <w:tcPr>
            <w:gridSpan w:val="6"/>
            <w:tcW w:w="4159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vAlign w:val="bottom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3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5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>
        <w:trPr/>
        <w:tc>
          <w:tcPr>
            <w:gridSpan w:val="4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4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904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4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/>
          </w:p>
        </w:tc>
        <w:tc>
          <w:tcPr>
            <w:gridSpan w:val="5"/>
            <w:tcW w:w="847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Аннулировать адрес объекта адресации:</w:t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внутригородского района городского округа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планировочной структуры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земельного участка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объекта незавершенного строительства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помещения, расположенного в здании или сооружении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пределах квартиры (в отношении коммунальных квартир)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vMerge w:val="restart"/>
            <w:textDirection w:val="lrTb"/>
            <w:noWrap w:val="false"/>
          </w:tcPr>
          <w:p>
            <w:pPr>
              <w:pStyle w:val="904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847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0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0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58" w:tooltip="consultantplus://offline/ref=99BED51A5210E022B30AA9549FC7166E9378FDCB6C5041E1A4B33167D3D9417E7C7D0CF423A617CA50396594A6EB80F30F6F584AB2B23541XA69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части 7 статьи 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03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Присвоением объекту адресации нового адреса</w:t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68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7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>
        <w:trPr/>
        <w:tc>
          <w:tcPr>
            <w:gridSpan w:val="11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331" w:type="dxa"/>
            <w:textDirection w:val="lrTb"/>
            <w:noWrap w:val="false"/>
          </w:tcPr>
          <w:p>
            <w:pPr>
              <w:pStyle w:val="904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gridSpan w:val="2"/>
            <w:tcW w:w="1400" w:type="dxa"/>
            <w:textDirection w:val="lrTb"/>
            <w:noWrap w:val="false"/>
          </w:tcPr>
          <w:p>
            <w:pPr>
              <w:pStyle w:val="904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904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14"/>
            <w:tcW w:w="848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76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Align w:val="center"/>
            <w:textDirection w:val="lrTb"/>
            <w:noWrap w:val="false"/>
          </w:tcPr>
          <w:p>
            <w:pPr>
              <w:pStyle w:val="904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</w:t>
            </w:r>
            <w:r/>
          </w:p>
        </w:tc>
        <w:tc>
          <w:tcPr>
            <w:gridSpan w:val="4"/>
            <w:tcW w:w="206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</w:t>
            </w:r>
            <w:r/>
          </w:p>
        </w:tc>
        <w:tc>
          <w:tcPr>
            <w:gridSpan w:val="4"/>
            <w:tcW w:w="224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04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6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24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</w:t>
            </w:r>
            <w:r/>
          </w:p>
        </w:tc>
        <w:tc>
          <w:tcPr>
            <w:gridSpan w:val="4"/>
            <w:tcW w:w="2066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/>
          </w:p>
        </w:tc>
        <w:tc>
          <w:tcPr>
            <w:gridSpan w:val="4"/>
            <w:tcW w:w="2240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6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24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66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</w:t>
            </w:r>
            <w:r/>
          </w:p>
        </w:tc>
        <w:tc>
          <w:tcPr>
            <w:gridSpan w:val="5"/>
            <w:tcW w:w="3090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66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5"/>
            <w:tcW w:w="309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66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309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/>
          </w:p>
        </w:tc>
        <w:tc>
          <w:tcPr>
            <w:gridSpan w:val="6"/>
            <w:tcW w:w="2894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/>
          </w:p>
        </w:tc>
        <w:tc>
          <w:tcPr>
            <w:gridSpan w:val="3"/>
            <w:tcW w:w="2262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289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26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46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289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26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7620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</w:t>
            </w:r>
            <w:r/>
          </w:p>
        </w:tc>
        <w:tc>
          <w:tcPr>
            <w:gridSpan w:val="8"/>
            <w:tcW w:w="500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500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1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</w:t>
            </w:r>
            <w:r/>
          </w:p>
        </w:tc>
        <w:tc>
          <w:tcPr>
            <w:gridSpan w:val="6"/>
            <w:tcW w:w="4102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1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0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</w:t>
            </w:r>
            <w:r/>
          </w:p>
        </w:tc>
        <w:tc>
          <w:tcPr>
            <w:gridSpan w:val="5"/>
            <w:tcW w:w="274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</w:t>
            </w:r>
            <w:r/>
          </w:p>
        </w:tc>
        <w:tc>
          <w:tcPr>
            <w:gridSpan w:val="3"/>
            <w:tcW w:w="2262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4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3"/>
            <w:tcW w:w="226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4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26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/>
          </w:p>
        </w:tc>
        <w:tc>
          <w:tcPr>
            <w:gridSpan w:val="5"/>
            <w:tcW w:w="274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/>
          </w:p>
        </w:tc>
        <w:tc>
          <w:tcPr>
            <w:gridSpan w:val="3"/>
            <w:tcW w:w="2262" w:type="dxa"/>
            <w:textDirection w:val="lrTb"/>
            <w:noWrap w:val="false"/>
          </w:tcPr>
          <w:p>
            <w:pPr>
              <w:pStyle w:val="904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4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26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61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4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26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76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на объект адресации: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720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720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имуществом на объект адресации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720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 имуществом на объект адресации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720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пожизненно наследуемого владения земельным участком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720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(бессрочного) пользования земельным участком</w:t>
            </w:r>
            <w:r/>
          </w:p>
        </w:tc>
      </w:tr>
      <w:tr>
        <w:trPr/>
        <w:tc>
          <w:tcPr>
            <w:tcW w:w="55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14"/>
            <w:tcW w:w="848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</w:t>
            </w:r>
            <w:r/>
          </w:p>
        </w:tc>
        <w:tc>
          <w:tcPr>
            <w:tcW w:w="35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10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многофункциональном центре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по адресу:</w:t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3"/>
            <w:tcW w:w="8041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3"/>
            <w:tcW w:w="804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федеральной информационной адресной системы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restart"/>
            <w:textDirection w:val="lrTb"/>
            <w:noWrap w:val="false"/>
          </w:tcPr>
          <w:p>
            <w:pPr>
              <w:pStyle w:val="90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сообщения о получении заявления и документов)</w:t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14"/>
            <w:tcW w:w="8489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в получении документов прошу: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1616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</w:t>
            </w:r>
            <w:r/>
          </w:p>
        </w:tc>
        <w:tc>
          <w:tcPr>
            <w:gridSpan w:val="10"/>
            <w:tcW w:w="642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получена:                               ___________________________________</w:t>
            </w:r>
            <w:r/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</w:t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отправлением по адресу:</w:t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358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7"/>
            <w:tcW w:w="44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3"/>
            <w:tcW w:w="804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направлять</w:t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>
        <w:trPr/>
        <w:tc>
          <w:tcPr>
            <w:gridSpan w:val="9"/>
            <w:tcW w:w="631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331" w:type="dxa"/>
            <w:textDirection w:val="lrTb"/>
            <w:noWrap w:val="false"/>
          </w:tcPr>
          <w:p>
            <w:pPr>
              <w:pStyle w:val="904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pStyle w:val="904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13"/>
            <w:tcBorders>
              <w:left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9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1"/>
            <w:tcW w:w="809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</w:t>
            </w:r>
            <w:r/>
          </w:p>
        </w:tc>
        <w:tc>
          <w:tcPr>
            <w:gridSpan w:val="4"/>
            <w:tcW w:w="2034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</w:t>
            </w:r>
            <w:r/>
          </w:p>
        </w:tc>
        <w:tc>
          <w:tcPr>
            <w:gridSpan w:val="4"/>
            <w:tcW w:w="2230" w:type="dxa"/>
            <w:vAlign w:val="center"/>
            <w:textDirection w:val="lrTb"/>
            <w:noWrap w:val="false"/>
          </w:tcPr>
          <w:p>
            <w:pPr>
              <w:pStyle w:val="904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</w:t>
            </w:r>
            <w:r/>
          </w:p>
        </w:tc>
        <w:tc>
          <w:tcPr>
            <w:tcW w:w="907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23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</w:t>
            </w:r>
            <w:r/>
          </w:p>
        </w:tc>
        <w:tc>
          <w:tcPr>
            <w:gridSpan w:val="4"/>
            <w:tcW w:w="203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/>
          </w:p>
        </w:tc>
        <w:tc>
          <w:tcPr>
            <w:gridSpan w:val="4"/>
            <w:tcW w:w="2230" w:type="dxa"/>
            <w:textDirection w:val="lrTb"/>
            <w:noWrap w:val="false"/>
          </w:tcPr>
          <w:p>
            <w:pPr>
              <w:pStyle w:val="904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3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23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3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</w:t>
            </w:r>
            <w:r/>
          </w:p>
        </w:tc>
        <w:tc>
          <w:tcPr>
            <w:gridSpan w:val="5"/>
            <w:tcW w:w="3137" w:type="dxa"/>
            <w:textDirection w:val="lrTb"/>
            <w:noWrap w:val="false"/>
          </w:tcPr>
          <w:p>
            <w:pPr>
              <w:pStyle w:val="904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34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5"/>
            <w:tcW w:w="313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203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313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/>
          </w:p>
        </w:tc>
        <w:tc>
          <w:tcPr>
            <w:gridSpan w:val="6"/>
            <w:tcW w:w="2868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/>
          </w:p>
        </w:tc>
        <w:tc>
          <w:tcPr>
            <w:gridSpan w:val="3"/>
            <w:tcW w:w="2303" w:type="dxa"/>
            <w:vAlign w:val="center"/>
            <w:textDirection w:val="lrTb"/>
            <w:noWrap w:val="false"/>
          </w:tcPr>
          <w:p>
            <w:pPr>
              <w:pStyle w:val="904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286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0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2868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0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vMerge w:val="restart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</w:t>
            </w:r>
            <w:r/>
          </w:p>
        </w:tc>
        <w:tc>
          <w:tcPr>
            <w:gridSpan w:val="8"/>
            <w:tcW w:w="50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8"/>
            <w:tcW w:w="50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533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</w:t>
            </w:r>
            <w:r/>
          </w:p>
        </w:tc>
        <w:tc>
          <w:tcPr>
            <w:gridSpan w:val="7"/>
            <w:tcW w:w="4158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53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7"/>
            <w:tcW w:w="415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textDirection w:val="lrTb"/>
            <w:noWrap w:val="false"/>
          </w:tcPr>
          <w:p>
            <w:pPr>
              <w:pStyle w:val="904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</w:t>
            </w:r>
            <w:r/>
          </w:p>
        </w:tc>
        <w:tc>
          <w:tcPr>
            <w:gridSpan w:val="5"/>
            <w:tcW w:w="2704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</w:t>
            </w:r>
            <w:r/>
          </w:p>
        </w:tc>
        <w:tc>
          <w:tcPr>
            <w:gridSpan w:val="3"/>
            <w:tcW w:w="2303" w:type="dxa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3"/>
            <w:tcW w:w="230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0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0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vAlign w:val="center"/>
            <w:textDirection w:val="lrTb"/>
            <w:noWrap w:val="false"/>
          </w:tcPr>
          <w:p>
            <w:pPr>
              <w:pStyle w:val="904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/>
          </w:p>
        </w:tc>
        <w:tc>
          <w:tcPr>
            <w:gridSpan w:val="5"/>
            <w:tcW w:w="2704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/>
          </w:p>
        </w:tc>
        <w:tc>
          <w:tcPr>
            <w:gridSpan w:val="3"/>
            <w:tcW w:w="2303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наличии):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04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0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2704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230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5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0"/>
            <w:tcW w:w="7691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заявлению: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8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6"/>
            <w:tcW w:w="3708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8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6"/>
            <w:tcW w:w="3708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482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6"/>
            <w:tcW w:w="3708" w:type="dxa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537" w:type="dxa"/>
            <w:vMerge w:val="restart"/>
            <w:textDirection w:val="lrTb"/>
            <w:noWrap w:val="false"/>
          </w:tcPr>
          <w:p>
            <w:pPr>
              <w:pStyle w:val="9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12"/>
            <w:tcW w:w="8528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>
        <w:trPr/>
        <w:tc>
          <w:tcPr>
            <w:gridSpan w:val="3"/>
            <w:tcW w:w="62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pStyle w:val="904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4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/>
          </w:p>
        </w:tc>
      </w:tr>
      <w:tr>
        <w:trPr/>
        <w:tc>
          <w:tcPr>
            <w:gridSpan w:val="3"/>
            <w:tcW w:w="6284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режиме, включая принятие решений на их основе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присвоение, изменение и аннулирование адресов, в целях предоставления муниципальной услуги.</w:t>
            </w:r>
            <w:r/>
          </w:p>
        </w:tc>
      </w:tr>
      <w:tr>
        <w:trPr/>
        <w:tc>
          <w:tcPr>
            <w:tcW w:w="537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также подтверждаю, что:</w:t>
            </w:r>
            <w:r/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указанные в настоящем заявлении, на дату представления заявления достоверны;</w:t>
            </w:r>
            <w:r/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правоустанавливающи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иные документы и содержащиеся в них сведения соответствуют установленным законодательством Российской Федерации требованиям.</w:t>
            </w:r>
            <w:r/>
          </w:p>
        </w:tc>
      </w:tr>
      <w:tr>
        <w:trPr/>
        <w:tc>
          <w:tcPr>
            <w:tcW w:w="53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W w:w="574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gridSpan w:val="2"/>
            <w:tcW w:w="2780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2358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</w:t>
            </w:r>
            <w:r/>
          </w:p>
          <w:p>
            <w:pPr>
              <w:pStyle w:val="90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</w:t>
            </w:r>
            <w:r/>
          </w:p>
        </w:tc>
        <w:tc>
          <w:tcPr>
            <w:tcBorders>
              <w:left w:val="non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</w:t>
            </w:r>
            <w:r/>
          </w:p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</w:t>
            </w:r>
            <w:r/>
          </w:p>
        </w:tc>
        <w:tc>
          <w:tcPr>
            <w:gridSpan w:val="2"/>
            <w:tcW w:w="2780" w:type="dxa"/>
            <w:vAlign w:val="center"/>
            <w:textDirection w:val="lrTb"/>
            <w:noWrap w:val="false"/>
          </w:tcPr>
          <w:p>
            <w:pPr>
              <w:pStyle w:val="90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53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специалиста, принявшего заявление и приложенные к нему документы:</w:t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7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W w:w="85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3" w:name="P609"/>
      <w:r>
        <w:rPr>
          <w:sz w:val="20"/>
          <w:szCs w:val="20"/>
        </w:rPr>
      </w:r>
      <w:bookmarkEnd w:id="3"/>
      <w:r>
        <w:rPr>
          <w:rFonts w:ascii="Times New Roman" w:hAnsi="Times New Roman" w:cs="Times New Roman"/>
          <w:sz w:val="20"/>
          <w:szCs w:val="20"/>
        </w:rPr>
        <w:t xml:space="preserve">&lt;1&gt; Строка дублируется для каждого объединенного земельного участка.</w:t>
      </w:r>
      <w:r>
        <w:rPr>
          <w:sz w:val="20"/>
          <w:szCs w:val="20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4" w:name="P610"/>
      <w:r>
        <w:rPr>
          <w:sz w:val="20"/>
          <w:szCs w:val="20"/>
        </w:rPr>
      </w:r>
      <w:bookmarkEnd w:id="4"/>
      <w:r>
        <w:rPr>
          <w:rFonts w:ascii="Times New Roman" w:hAnsi="Times New Roman" w:cs="Times New Roman"/>
          <w:sz w:val="20"/>
          <w:szCs w:val="20"/>
        </w:rPr>
        <w:t xml:space="preserve">&lt;2&gt; Строка дублируется для каждого перераспределенного земельного участка.</w:t>
      </w:r>
      <w:r>
        <w:rPr>
          <w:sz w:val="20"/>
          <w:szCs w:val="20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5" w:name="P611"/>
      <w:r>
        <w:rPr>
          <w:sz w:val="20"/>
          <w:szCs w:val="20"/>
        </w:rPr>
      </w:r>
      <w:bookmarkEnd w:id="5"/>
      <w:r>
        <w:rPr>
          <w:rFonts w:ascii="Times New Roman" w:hAnsi="Times New Roman" w:cs="Times New Roman"/>
          <w:sz w:val="20"/>
          <w:szCs w:val="20"/>
        </w:rPr>
        <w:t xml:space="preserve">&lt;3&gt; Строка дублируется для каждого разделенного помещения.</w:t>
      </w:r>
      <w:r>
        <w:rPr>
          <w:sz w:val="20"/>
          <w:szCs w:val="20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6" w:name="P612"/>
      <w:r>
        <w:rPr>
          <w:sz w:val="20"/>
          <w:szCs w:val="20"/>
        </w:rPr>
      </w:r>
      <w:bookmarkEnd w:id="6"/>
      <w:r>
        <w:rPr>
          <w:rFonts w:ascii="Times New Roman" w:hAnsi="Times New Roman" w:cs="Times New Roman"/>
          <w:sz w:val="20"/>
          <w:szCs w:val="20"/>
        </w:rPr>
        <w:t xml:space="preserve">&lt;4&gt; Строка дублируется для каждого объединенного помещения.</w:t>
      </w:r>
      <w:r>
        <w:rPr>
          <w:sz w:val="20"/>
          <w:szCs w:val="20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</w:t>
      </w:r>
      <w:r>
        <w:rPr>
          <w:rFonts w:ascii="Times New Roman" w:hAnsi="Times New Roman" w:cs="Times New Roman"/>
          <w:sz w:val="24"/>
          <w:szCs w:val="24"/>
        </w:rPr>
        <w:t xml:space="preserve">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/>
    </w:p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9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/>
          </w:p>
        </w:tc>
      </w:tr>
    </w:tbl>
    <w:p>
      <w:pPr>
        <w:pStyle w:val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заявления на бумажном носителе за</w:t>
      </w:r>
      <w:r>
        <w:rPr>
          <w:rFonts w:ascii="Times New Roman" w:hAnsi="Times New Roman" w:cs="Times New Roman"/>
          <w:sz w:val="24"/>
          <w:szCs w:val="24"/>
        </w:rPr>
        <w:t xml:space="preserve">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tooltip="consultantplus://offline/ref=99BED51A5210E022B30AA9549FC7166E9471F2CC675541E1A4B33167D3D9417E6E7D54F821A500C95E2C33C5E0XB6CL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</w:t>
      </w:r>
      <w:r>
        <w:rPr>
          <w:rFonts w:ascii="Times New Roman" w:hAnsi="Times New Roman" w:cs="Times New Roman"/>
          <w:sz w:val="24"/>
          <w:szCs w:val="24"/>
        </w:rPr>
        <w:t xml:space="preserve">Сколково</w:t>
      </w:r>
      <w:r>
        <w:rPr>
          <w:rFonts w:ascii="Times New Roman" w:hAnsi="Times New Roman" w:cs="Times New Roman"/>
          <w:sz w:val="24"/>
          <w:szCs w:val="24"/>
        </w:rPr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</w:t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</w:t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«Присвоение адреса объекту адресации, изменение и аннулирование такого адреса»</w:t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«ТЫМСКОЕ СЕЛЬСКОЕ ПОСЕЛЕНИЕ»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КАРГАСОКСКИЙ РАЙОН ТОМСКОЙ ОБЛАСТИ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ТЫМСКОГОСЕЛЬСКОГО ПОСЕЛЕНИЯ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/>
    </w:p>
    <w:p>
      <w:pPr>
        <w:contextualSpacing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00.00.20_                                                                                                                   №  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с.Тымск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присвоении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адреса объект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адресации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от 28 декабря 2013 г. № 443-ФЗ «О федеральной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нформационной адресной системе </w:t>
      </w:r>
      <w:r>
        <w:rPr>
          <w:rFonts w:ascii="Times New Roman" w:hAnsi="Times New Roman" w:cs="Times New Roman"/>
          <w:sz w:val="24"/>
          <w:szCs w:val="24"/>
        </w:rPr>
        <w:t xml:space="preserve">и о внесении изменений в Федеральный закон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19 ноября 2014 г. № 1221, а также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адреса, включая рек</w:t>
      </w:r>
      <w:r>
        <w:rPr>
          <w:rFonts w:ascii="Times New Roman" w:hAnsi="Times New Roman" w:cs="Times New Roman"/>
          <w:sz w:val="20"/>
          <w:szCs w:val="20"/>
        </w:rPr>
        <w:t xml:space="preserve">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и/или реквизиты заявления о присвоении адреса объекту адресации)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ПОСТАНОВЛЯЮ: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Присвоить адрес </w:t>
      </w:r>
      <w:r/>
    </w:p>
    <w:p>
      <w:pPr>
        <w:ind w:left="2127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(присвоенный объекту адресации адрес)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следующему объекту адресации   </w:t>
      </w:r>
      <w:r/>
    </w:p>
    <w:p>
      <w:pPr>
        <w:ind w:left="3402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(вид, наименование, описание местонахождения объекта адресации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>
        <w:rPr>
          <w:rFonts w:ascii="Times New Roman" w:hAnsi="Times New Roman" w:cs="Times New Roman"/>
          <w:sz w:val="20"/>
          <w:szCs w:val="20"/>
        </w:rPr>
        <w:br/>
        <w:t xml:space="preserve">(в случае образования объекта в результате преобразования существующего объекта или объектов),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>
        <w:rPr>
          <w:rFonts w:ascii="Times New Roman" w:hAnsi="Times New Roman" w:cs="Times New Roman"/>
          <w:sz w:val="20"/>
          <w:szCs w:val="20"/>
        </w:rPr>
        <w:br/>
        <w:t xml:space="preserve">в государственном адресном реестре (в случае присвоения нового адреса объекту адресации),</w:t>
      </w:r>
      <w:r/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другие необходимые сведения, определенные уполномоченным органом (при наличии)</w:t>
      </w:r>
      <w:r/>
    </w:p>
    <w:tbl>
      <w:tblPr>
        <w:tblW w:w="8222" w:type="dxa"/>
        <w:tblBorders>
          <w:bottom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>
        <w:trPr/>
        <w:tc>
          <w:tcPr>
            <w:tcBorders>
              <w:bottom w:val="single" w:color="auto" w:sz="4" w:space="0"/>
            </w:tcBorders>
            <w:tcW w:w="5954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ind w:right="28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</w:t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/>
          </w:p>
        </w:tc>
      </w:tr>
    </w:tbl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3</w:t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</w:t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«Присвоение адреса объекту адресации, изменение и аннулирование такого адреса»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i/>
          <w:strike/>
          <w:sz w:val="24"/>
          <w:szCs w:val="24"/>
        </w:rPr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«ТЫМСКОЕ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КАРГАСОКСКИЙ РАЙОН ТОМСКОЙ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ТЫМСКОГОСЕЛЬСКОГО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00.00.20_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с.Тымск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аннулировании адреса объекта адресации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от 28 декабря 2013 г. № 443-ФЗ «О федеральной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нформационной адресной системе </w:t>
      </w:r>
      <w:r>
        <w:rPr>
          <w:rFonts w:ascii="Times New Roman" w:hAnsi="Times New Roman" w:cs="Times New Roman"/>
          <w:sz w:val="24"/>
          <w:szCs w:val="24"/>
        </w:rPr>
        <w:t xml:space="preserve">и о внесении изменений в Федеральный закон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19 ноября 2014 г. № 1</w:t>
      </w:r>
      <w:r>
        <w:rPr>
          <w:rFonts w:ascii="Times New Roman" w:hAnsi="Times New Roman" w:cs="Times New Roman"/>
          <w:sz w:val="24"/>
          <w:szCs w:val="24"/>
        </w:rPr>
        <w:t xml:space="preserve">221, а также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</w:t>
      </w:r>
      <w:r>
        <w:rPr>
          <w:rFonts w:ascii="Times New Roman" w:hAnsi="Times New Roman" w:cs="Times New Roman"/>
          <w:sz w:val="20"/>
          <w:szCs w:val="20"/>
        </w:rPr>
        <w:t xml:space="preserve">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 и/или реквизиты заявления о присвоении адреса объекту адресации)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ПОСТАНОВЛЯЮ: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Аннулировать адрес </w:t>
      </w:r>
      <w:r/>
    </w:p>
    <w:p>
      <w:pPr>
        <w:ind w:left="2552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(аннулируемый адрес объекта адресации, уникальный номер аннулируемого адреса объекта адресации в государственном адресном реестре)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адресации   </w:t>
      </w:r>
      <w:r/>
    </w:p>
    <w:p>
      <w:pPr>
        <w:ind w:left="2127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(вид и наименование объекта адресации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адресации и (или) снятия с государственного кадастрового учета объекта недвижимости, являющегося объектом адресации),</w:t>
      </w:r>
      <w:r/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  <w:r/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другие необходимые сведения, определенные уполномоченным органом (при наличии)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</w:t>
      </w:r>
      <w:r/>
    </w:p>
    <w:p>
      <w:pPr>
        <w:ind w:left="1418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(причина аннулирования адреса объекта адресации)</w:t>
      </w:r>
      <w:r/>
    </w:p>
    <w:p>
      <w:pPr>
        <w:jc w:val="both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54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/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  <w:t xml:space="preserve">Приложение № 4</w:t>
      </w:r>
      <w:r/>
    </w:p>
    <w:p>
      <w:pPr>
        <w:jc w:val="right"/>
        <w:spacing w:after="0"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</w:t>
      </w:r>
      <w:r/>
    </w:p>
    <w:p>
      <w:pPr>
        <w:ind w:left="5245"/>
        <w:jc w:val="right"/>
        <w:spacing w:line="240" w:lineRule="auto"/>
        <w:widowControl w:val="off"/>
        <w:tabs>
          <w:tab w:val="left" w:pos="58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«Присвоение адреса объекту адресации, изменение и аннулирование такого адреса»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917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решения об отказе в присвоении объекту адресации адреса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или аннулировании его адреса</w:t>
      </w:r>
      <w:r/>
    </w:p>
    <w:p>
      <w:pPr>
        <w:ind w:left="496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962"/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96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962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(Ф.И.О., адрес заявителя (представителя) заявителя)</w:t>
      </w:r>
      <w:r/>
    </w:p>
    <w:p>
      <w:pPr>
        <w:ind w:left="496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4962"/>
        <w:jc w:val="center"/>
        <w:spacing w:after="0" w:line="240" w:lineRule="auto"/>
        <w:rPr>
          <w:rFonts w:ascii="Times New Roman" w:hAnsi="Times New Roman" w:cs="Times New Roman"/>
          <w:spacing w:val="-3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(регистрационный номер заявления о присвоении объекту адресации адреса или аннулировании его адреса)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об отказе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присвоении объекту адресации адреса или аннулировании его адреса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8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Тымского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самоуправления)</w:t>
      </w:r>
      <w:r/>
    </w:p>
    <w:p>
      <w:pPr>
        <w:spacing w:line="240" w:lineRule="auto"/>
        <w:tabs>
          <w:tab w:val="right" w:pos="992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сообщает, что  </w:t>
      </w:r>
      <w:r>
        <w:rPr>
          <w:rFonts w:ascii="Times New Roman" w:hAnsi="Times New Roman" w:cs="Times New Roman"/>
          <w:sz w:val="24"/>
          <w:szCs w:val="24"/>
        </w:rPr>
        <w:tab/>
        <w:t xml:space="preserve">,</w:t>
      </w:r>
      <w:r/>
    </w:p>
    <w:p>
      <w:pPr>
        <w:ind w:left="1548"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(Ф.И.О. заявителя в дательном падеже, наименование, номер и дата выдачи документа,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подтверждающего личность, почтовый адрес – для физического лица; полное наименование, ИНН, КПП (для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российского юридического лица), страна, дата и номер регистрации (для иностранного юридического лица),</w:t>
      </w:r>
      <w:r/>
    </w:p>
    <w:p>
      <w:pPr>
        <w:spacing w:after="0" w:line="240" w:lineRule="auto"/>
        <w:tabs>
          <w:tab w:val="right" w:pos="9921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,</w:t>
      </w:r>
      <w:r/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 – для юридического лица)</w:t>
      </w:r>
      <w:r/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Правил присвоения, изменения и аннулирования адресов,</w:t>
      </w:r>
      <w:r>
        <w:rPr>
          <w:rFonts w:ascii="Times New Roman" w:hAnsi="Times New Roman" w:cs="Times New Roman"/>
          <w:sz w:val="24"/>
          <w:szCs w:val="24"/>
        </w:rPr>
        <w:br/>
        <w:t xml:space="preserve">утвержденных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от 19 ноября 2014 г. № 1221, отказано в присвоении (аннулировании) адреса следующему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адресации 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(вид и наименование объекта адресации, описание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местонахождения объекта адресации в случае обращения заявителя о присвоении объекту адресации адреса,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адрес объекта адресации в случае обращения заявителя об аннулировании его адреса)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spacing w:after="0" w:line="240" w:lineRule="auto"/>
        <w:tabs>
          <w:tab w:val="right" w:pos="99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</w:t>
      </w:r>
      <w:r/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(основание отказа)</w:t>
      </w:r>
      <w:r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5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(должность, Ф.И.О.)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jc w:val="right"/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М.П.</w:t>
      </w:r>
      <w:r>
        <w:rPr>
          <w:sz w:val="18"/>
          <w:szCs w:val="18"/>
        </w:rPr>
      </w:r>
      <w:r/>
    </w:p>
    <w:sectPr>
      <w:footnotePr/>
      <w:endnotePr/>
      <w:type w:val="nextPage"/>
      <w:pgSz w:w="11906" w:h="16838" w:orient="portrait"/>
      <w:pgMar w:top="709" w:right="849" w:bottom="851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Vladimir Script">
    <w:panose1 w:val="02040503050406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6" w:hanging="215"/>
        <w:tabs>
          <w:tab w:val="num" w:pos="1066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 w:cs="Times New Roman"/>
      </w:rPr>
    </w:lvl>
    <w:lvl w:ilvl="1">
      <w:start w:val="15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hint="default" w:cs="Times New Roman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  <w:tabs>
          <w:tab w:val="num" w:pos="2136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  <w:tabs>
          <w:tab w:val="num" w:pos="3204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  <w:tabs>
          <w:tab w:val="num" w:pos="391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840"/>
        <w:tabs>
          <w:tab w:val="num" w:pos="840" w:leader="none"/>
        </w:tabs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cs="Times New Roman"/>
        <w:i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 w:cs="Times New Roman"/>
        <w:i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  <w:i w:val="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6" w:hanging="215"/>
        <w:tabs>
          <w:tab w:val="num" w:pos="1066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3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05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577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49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21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793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65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37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15"/>
        <w:tabs>
          <w:tab w:val="num" w:pos="106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360"/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  <w:rPr>
        <w:rFonts w:hint="default" w:cs="Times New Roman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 w:cs="Times New Roman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  <w:rPr>
        <w:rFonts w:hint="default" w:cs="Times New Roman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  <w:rPr>
        <w:rFonts w:hint="default" w:cs="Times New Roman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  <w:rPr>
        <w:rFonts w:hint="default" w:cs="Times New Roman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  <w:rPr>
        <w:rFonts w:hint="default" w:cs="Times New Roman"/>
        <w:b w:val="0"/>
      </w:r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8"/>
      <w:numFmt w:val="decimal"/>
      <w:isLgl/>
      <w:suff w:val="tab"/>
      <w:lvlText w:val="%1.%2."/>
      <w:lvlJc w:val="left"/>
      <w:pPr>
        <w:ind w:left="1211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295" w:hanging="215"/>
        <w:tabs>
          <w:tab w:val="num" w:pos="1295" w:leader="none"/>
        </w:tabs>
      </w:pPr>
      <w:rPr>
        <w:rFonts w:hint="default" w:ascii="Vladimir Script" w:hAnsi="Vladimir Scrip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 w:cs="Times New Roman"/>
        <w:b w:val="0"/>
        <w:bCs w:val="0"/>
      </w:rPr>
    </w:lvl>
    <w:lvl w:ilvl="1">
      <w:start w:val="9"/>
      <w:numFmt w:val="decimal"/>
      <w:isLgl w:val="false"/>
      <w:suff w:val="tab"/>
      <w:lvlText w:val="%1.%2."/>
      <w:lvlJc w:val="left"/>
      <w:pPr>
        <w:ind w:left="2280" w:hanging="720"/>
        <w:tabs>
          <w:tab w:val="num" w:pos="2280" w:leader="none"/>
        </w:tabs>
      </w:pPr>
      <w:rPr>
        <w:rFonts w:hint="default" w:cs="Times New Roman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840" w:hanging="720"/>
        <w:tabs>
          <w:tab w:val="num" w:pos="3840" w:leader="none"/>
        </w:tabs>
      </w:pPr>
      <w:rPr>
        <w:rFonts w:hint="default" w:cs="Times New Roman"/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760" w:hanging="1080"/>
        <w:tabs>
          <w:tab w:val="num" w:pos="5760" w:leader="none"/>
        </w:tabs>
      </w:pPr>
      <w:rPr>
        <w:rFonts w:hint="default" w:cs="Times New Roman"/>
        <w:b w:val="0"/>
        <w:bCs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320" w:hanging="1080"/>
        <w:tabs>
          <w:tab w:val="num" w:pos="7320" w:leader="none"/>
        </w:tabs>
      </w:pPr>
      <w:rPr>
        <w:rFonts w:hint="default" w:cs="Times New Roman"/>
        <w:b w:val="0"/>
        <w:bCs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240" w:hanging="1440"/>
        <w:tabs>
          <w:tab w:val="num" w:pos="9240" w:leader="none"/>
        </w:tabs>
      </w:pPr>
      <w:rPr>
        <w:rFonts w:hint="default" w:cs="Times New Roman"/>
        <w:b w:val="0"/>
        <w:bCs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1160" w:hanging="1800"/>
        <w:tabs>
          <w:tab w:val="num" w:pos="11160" w:leader="none"/>
        </w:tabs>
      </w:pPr>
      <w:rPr>
        <w:rFonts w:hint="default" w:cs="Times New Roman"/>
        <w:b w:val="0"/>
        <w:bCs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20" w:hanging="1800"/>
        <w:tabs>
          <w:tab w:val="num" w:pos="12720" w:leader="none"/>
        </w:tabs>
      </w:pPr>
      <w:rPr>
        <w:rFonts w:hint="default" w:cs="Times New Roman"/>
        <w:b w:val="0"/>
        <w:bCs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640" w:hanging="2160"/>
        <w:tabs>
          <w:tab w:val="num" w:pos="14640" w:leader="none"/>
        </w:tabs>
      </w:pPr>
      <w:rPr>
        <w:rFonts w:hint="default" w:cs="Times New Roman"/>
        <w:b w:val="0"/>
        <w:bCs w:val="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Vladimir Script" w:hAnsi="Vladimir Script"/>
      </w:rPr>
    </w:lvl>
    <w:lvl w:ilvl="1">
      <w:start w:val="1"/>
      <w:numFmt w:val="russianLower"/>
      <w:isLgl w:val="false"/>
      <w:suff w:val="tab"/>
      <w:lvlText w:val="%2."/>
      <w:lvlJc w:val="left"/>
      <w:pPr>
        <w:ind w:left="1080"/>
        <w:tabs>
          <w:tab w:val="num" w:pos="1477" w:leader="none"/>
        </w:tabs>
      </w:pPr>
      <w:rPr>
        <w:rFonts w:hint="default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840" w:hanging="480"/>
        <w:tabs>
          <w:tab w:val="num" w:pos="840" w:leader="none"/>
        </w:tabs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  <w:tabs>
          <w:tab w:val="num" w:pos="1800" w:leader="none"/>
        </w:tabs>
      </w:pPr>
      <w:rPr>
        <w:rFonts w:hint="default" w:cs="Times New Roman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 w:cs="Times New Roman"/>
      </w:rPr>
    </w:lvl>
    <w:lvl w:ilvl="1">
      <w:start w:val="14"/>
      <w:numFmt w:val="decimal"/>
      <w:isLgl w:val="false"/>
      <w:suff w:val="tab"/>
      <w:lvlText w:val="%1.%2."/>
      <w:lvlJc w:val="left"/>
      <w:pPr>
        <w:ind w:left="2280" w:hanging="720"/>
        <w:tabs>
          <w:tab w:val="num" w:pos="2280" w:leader="none"/>
        </w:tabs>
      </w:pPr>
      <w:rPr>
        <w:rFonts w:hint="default" w:cs="Times New Roman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  <w:tabs>
          <w:tab w:val="num" w:pos="2136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  <w:tabs>
          <w:tab w:val="num" w:pos="3204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  <w:tabs>
          <w:tab w:val="num" w:pos="391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  <w:tabs>
          <w:tab w:val="num" w:pos="660" w:leader="none"/>
        </w:tabs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945" w:hanging="660"/>
        <w:tabs>
          <w:tab w:val="num" w:pos="945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90" w:hanging="720"/>
        <w:tabs>
          <w:tab w:val="num" w:pos="129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5" w:hanging="720"/>
        <w:tabs>
          <w:tab w:val="num" w:pos="1575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20" w:hanging="1080"/>
        <w:tabs>
          <w:tab w:val="num" w:pos="22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080"/>
        <w:tabs>
          <w:tab w:val="num" w:pos="2505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440"/>
        <w:tabs>
          <w:tab w:val="num" w:pos="315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35" w:hanging="1440"/>
        <w:tabs>
          <w:tab w:val="num" w:pos="3435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80" w:hanging="1800"/>
        <w:tabs>
          <w:tab w:val="num" w:pos="4080" w:leader="none"/>
        </w:tabs>
      </w:pPr>
      <w:rPr>
        <w:rFonts w:hint="default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121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924" w:hanging="121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33" w:hanging="1215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1215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51" w:hanging="1215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60" w:hanging="1215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 w:cs="Times New Roman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  <w:tabs>
          <w:tab w:val="num" w:pos="894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  <w:tabs>
          <w:tab w:val="num" w:pos="1428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  <w:tabs>
          <w:tab w:val="num" w:pos="1782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  <w:tabs>
          <w:tab w:val="num" w:pos="2496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  <w:tabs>
          <w:tab w:val="num" w:pos="285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  <w:tabs>
          <w:tab w:val="num" w:pos="3564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  <w:tabs>
          <w:tab w:val="num" w:pos="3918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  <w:tabs>
          <w:tab w:val="num" w:pos="4632" w:leader="none"/>
        </w:tabs>
      </w:pPr>
      <w:rPr>
        <w:rFonts w:hint="default" w:cs="Times New Roman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51"/>
        <w:tabs>
          <w:tab w:val="num" w:pos="851" w:leader="none"/>
        </w:tabs>
      </w:pPr>
      <w:rPr>
        <w:rFonts w:hint="default" w:ascii="Vladimir Script" w:hAnsi="Vladimir Scrip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  <w:tabs>
          <w:tab w:val="num" w:pos="229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  <w:tabs>
          <w:tab w:val="num" w:pos="301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  <w:tabs>
          <w:tab w:val="num" w:pos="373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  <w:tabs>
          <w:tab w:val="num" w:pos="445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  <w:tabs>
          <w:tab w:val="num" w:pos="517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  <w:tabs>
          <w:tab w:val="num" w:pos="589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  <w:tabs>
          <w:tab w:val="num" w:pos="661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  <w:tabs>
          <w:tab w:val="num" w:pos="7331" w:leader="none"/>
        </w:tabs>
      </w:pPr>
      <w:rPr>
        <w:rFonts w:hint="default" w:ascii="Wingdings" w:hAnsi="Wingdings"/>
      </w:rPr>
    </w:lvl>
  </w:abstractNum>
  <w:num w:numId="1">
    <w:abstractNumId w:val="35"/>
  </w:num>
  <w:num w:numId="2">
    <w:abstractNumId w:val="37"/>
  </w:num>
  <w:num w:numId="3">
    <w:abstractNumId w:val="12"/>
  </w:num>
  <w:num w:numId="4">
    <w:abstractNumId w:val="8"/>
  </w:num>
  <w:num w:numId="5">
    <w:abstractNumId w:val="4"/>
  </w:num>
  <w:num w:numId="6">
    <w:abstractNumId w:val="28"/>
  </w:num>
  <w:num w:numId="7">
    <w:abstractNumId w:val="25"/>
  </w:num>
  <w:num w:numId="8">
    <w:abstractNumId w:val="13"/>
  </w:num>
  <w:num w:numId="9">
    <w:abstractNumId w:val="27"/>
  </w:num>
  <w:num w:numId="10">
    <w:abstractNumId w:val="33"/>
  </w:num>
  <w:num w:numId="11">
    <w:abstractNumId w:val="0"/>
  </w:num>
  <w:num w:numId="12">
    <w:abstractNumId w:val="20"/>
  </w:num>
  <w:num w:numId="13">
    <w:abstractNumId w:val="21"/>
  </w:num>
  <w:num w:numId="14">
    <w:abstractNumId w:val="17"/>
  </w:num>
  <w:num w:numId="15">
    <w:abstractNumId w:val="22"/>
  </w:num>
  <w:num w:numId="16">
    <w:abstractNumId w:val="26"/>
  </w:num>
  <w:num w:numId="17">
    <w:abstractNumId w:val="39"/>
  </w:num>
  <w:num w:numId="18">
    <w:abstractNumId w:val="10"/>
  </w:num>
  <w:num w:numId="19">
    <w:abstractNumId w:val="30"/>
  </w:num>
  <w:num w:numId="20">
    <w:abstractNumId w:val="2"/>
  </w:num>
  <w:num w:numId="21">
    <w:abstractNumId w:val="23"/>
  </w:num>
  <w:num w:numId="22">
    <w:abstractNumId w:val="36"/>
  </w:num>
  <w:num w:numId="23">
    <w:abstractNumId w:val="34"/>
  </w:num>
  <w:num w:numId="24">
    <w:abstractNumId w:val="1"/>
  </w:num>
  <w:num w:numId="25">
    <w:abstractNumId w:val="32"/>
  </w:num>
  <w:num w:numId="26">
    <w:abstractNumId w:val="19"/>
  </w:num>
  <w:num w:numId="27">
    <w:abstractNumId w:val="24"/>
  </w:num>
  <w:num w:numId="28">
    <w:abstractNumId w:val="5"/>
  </w:num>
  <w:num w:numId="29">
    <w:abstractNumId w:val="18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38"/>
  </w:num>
  <w:num w:numId="35">
    <w:abstractNumId w:val="15"/>
  </w:num>
  <w:num w:numId="36">
    <w:abstractNumId w:val="29"/>
  </w:num>
  <w:num w:numId="37">
    <w:abstractNumId w:val="31"/>
  </w:num>
  <w:num w:numId="38">
    <w:abstractNumId w:val="9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87"/>
    <w:link w:val="883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87"/>
    <w:link w:val="884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887"/>
    <w:link w:val="885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887"/>
    <w:link w:val="886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7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7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2"/>
    <w:next w:val="882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7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2"/>
    <w:next w:val="88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7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887"/>
    <w:link w:val="922"/>
    <w:uiPriority w:val="10"/>
    <w:rPr>
      <w:sz w:val="48"/>
      <w:szCs w:val="48"/>
    </w:rPr>
  </w:style>
  <w:style w:type="paragraph" w:styleId="731">
    <w:name w:val="Subtitle"/>
    <w:basedOn w:val="882"/>
    <w:next w:val="882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7"/>
    <w:link w:val="731"/>
    <w:uiPriority w:val="11"/>
    <w:rPr>
      <w:sz w:val="24"/>
      <w:szCs w:val="24"/>
    </w:rPr>
  </w:style>
  <w:style w:type="paragraph" w:styleId="733">
    <w:name w:val="Quote"/>
    <w:basedOn w:val="882"/>
    <w:next w:val="882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2"/>
    <w:next w:val="882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7"/>
    <w:link w:val="905"/>
    <w:uiPriority w:val="99"/>
  </w:style>
  <w:style w:type="character" w:styleId="738">
    <w:name w:val="Footer Char"/>
    <w:basedOn w:val="887"/>
    <w:link w:val="907"/>
    <w:uiPriority w:val="99"/>
  </w:style>
  <w:style w:type="character" w:styleId="739">
    <w:name w:val="Caption Char"/>
    <w:basedOn w:val="933"/>
    <w:link w:val="907"/>
    <w:uiPriority w:val="99"/>
  </w:style>
  <w:style w:type="table" w:styleId="740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7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7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paragraph" w:styleId="883">
    <w:name w:val="Heading 1"/>
    <w:basedOn w:val="882"/>
    <w:next w:val="882"/>
    <w:link w:val="898"/>
    <w:uiPriority w:val="99"/>
    <w:qFormat/>
    <w:pPr>
      <w:keepNext/>
      <w:spacing w:before="240" w:after="60" w:line="240" w:lineRule="auto"/>
      <w:outlineLvl w:val="0"/>
    </w:pPr>
    <w:rPr>
      <w:rFonts w:ascii="Arial" w:hAnsi="Arial" w:eastAsia="Times New Roman" w:cs="Times New Roman"/>
      <w:b/>
      <w:sz w:val="32"/>
      <w:szCs w:val="20"/>
    </w:rPr>
  </w:style>
  <w:style w:type="paragraph" w:styleId="884">
    <w:name w:val="Heading 2"/>
    <w:basedOn w:val="882"/>
    <w:next w:val="882"/>
    <w:link w:val="899"/>
    <w:uiPriority w:val="9"/>
    <w:qFormat/>
    <w:pPr>
      <w:keepLines/>
      <w:keepNext/>
      <w:spacing w:before="200" w:after="0"/>
      <w:outlineLvl w:val="1"/>
    </w:pPr>
    <w:rPr>
      <w:rFonts w:ascii="Cambria" w:hAnsi="Cambria" w:eastAsia="Times New Roman" w:cs="Times New Roman"/>
      <w:b/>
      <w:color w:val="4f81bd"/>
      <w:sz w:val="26"/>
      <w:szCs w:val="20"/>
    </w:rPr>
  </w:style>
  <w:style w:type="paragraph" w:styleId="885">
    <w:name w:val="Heading 3"/>
    <w:basedOn w:val="882"/>
    <w:link w:val="900"/>
    <w:uiPriority w:val="99"/>
    <w:qFormat/>
    <w:pPr>
      <w:spacing w:before="90" w:after="15" w:line="240" w:lineRule="auto"/>
      <w:outlineLvl w:val="2"/>
    </w:pPr>
    <w:rPr>
      <w:rFonts w:ascii="Arial" w:hAnsi="Arial" w:eastAsia="Times New Roman" w:cs="Times New Roman"/>
      <w:b/>
      <w:smallCaps/>
      <w:color w:val="00009a"/>
      <w:sz w:val="27"/>
      <w:szCs w:val="20"/>
    </w:rPr>
  </w:style>
  <w:style w:type="paragraph" w:styleId="886">
    <w:name w:val="Heading 4"/>
    <w:basedOn w:val="882"/>
    <w:next w:val="882"/>
    <w:link w:val="901"/>
    <w:uiPriority w:val="9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character" w:styleId="890" w:customStyle="1">
    <w:name w:val="apple-converted-space"/>
    <w:basedOn w:val="887"/>
  </w:style>
  <w:style w:type="paragraph" w:styleId="891">
    <w:name w:val="Balloon Text"/>
    <w:basedOn w:val="882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87"/>
    <w:link w:val="891"/>
    <w:uiPriority w:val="99"/>
    <w:semiHidden/>
    <w:rPr>
      <w:rFonts w:ascii="Tahoma" w:hAnsi="Tahoma" w:cs="Tahoma"/>
      <w:sz w:val="16"/>
      <w:szCs w:val="16"/>
    </w:rPr>
  </w:style>
  <w:style w:type="paragraph" w:styleId="893">
    <w:name w:val="List Paragraph"/>
    <w:basedOn w:val="882"/>
    <w:qFormat/>
    <w:pPr>
      <w:contextualSpacing/>
      <w:ind w:left="720"/>
    </w:pPr>
  </w:style>
  <w:style w:type="paragraph" w:styleId="894" w:customStyle="1">
    <w:name w:val="paragraph"/>
    <w:basedOn w:val="8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5" w:customStyle="1">
    <w:name w:val="normaltextrun"/>
    <w:basedOn w:val="887"/>
  </w:style>
  <w:style w:type="character" w:styleId="896" w:customStyle="1">
    <w:name w:val="spellingerror"/>
    <w:basedOn w:val="887"/>
  </w:style>
  <w:style w:type="character" w:styleId="897" w:customStyle="1">
    <w:name w:val="eop"/>
    <w:basedOn w:val="887"/>
  </w:style>
  <w:style w:type="character" w:styleId="898" w:customStyle="1">
    <w:name w:val="Заголовок 1 Знак"/>
    <w:basedOn w:val="887"/>
    <w:link w:val="883"/>
    <w:uiPriority w:val="99"/>
    <w:rPr>
      <w:rFonts w:ascii="Arial" w:hAnsi="Arial" w:eastAsia="Times New Roman" w:cs="Times New Roman"/>
      <w:b/>
      <w:sz w:val="32"/>
      <w:szCs w:val="20"/>
    </w:rPr>
  </w:style>
  <w:style w:type="character" w:styleId="899" w:customStyle="1">
    <w:name w:val="Заголовок 2 Знак"/>
    <w:basedOn w:val="887"/>
    <w:link w:val="884"/>
    <w:uiPriority w:val="9"/>
    <w:rPr>
      <w:rFonts w:ascii="Cambria" w:hAnsi="Cambria" w:eastAsia="Times New Roman" w:cs="Times New Roman"/>
      <w:b/>
      <w:color w:val="4f81bd"/>
      <w:sz w:val="26"/>
      <w:szCs w:val="20"/>
    </w:rPr>
  </w:style>
  <w:style w:type="character" w:styleId="900" w:customStyle="1">
    <w:name w:val="Заголовок 3 Знак"/>
    <w:basedOn w:val="887"/>
    <w:link w:val="885"/>
    <w:uiPriority w:val="99"/>
    <w:rPr>
      <w:rFonts w:ascii="Arial" w:hAnsi="Arial" w:eastAsia="Times New Roman" w:cs="Times New Roman"/>
      <w:b/>
      <w:smallCaps/>
      <w:color w:val="00009a"/>
      <w:sz w:val="27"/>
      <w:szCs w:val="20"/>
    </w:rPr>
  </w:style>
  <w:style w:type="character" w:styleId="901" w:customStyle="1">
    <w:name w:val="Заголовок 4 Знак"/>
    <w:basedOn w:val="887"/>
    <w:link w:val="886"/>
    <w:uiPriority w:val="99"/>
    <w:rPr>
      <w:rFonts w:ascii="Times New Roman" w:hAnsi="Times New Roman" w:eastAsia="Times New Roman" w:cs="Times New Roman"/>
      <w:b/>
      <w:sz w:val="28"/>
      <w:szCs w:val="20"/>
    </w:rPr>
  </w:style>
  <w:style w:type="character" w:styleId="902">
    <w:name w:val="Hyperlink"/>
    <w:uiPriority w:val="99"/>
    <w:rPr>
      <w:color w:val="0000ff"/>
      <w:u w:val="single"/>
    </w:rPr>
  </w:style>
  <w:style w:type="table" w:styleId="903">
    <w:name w:val="Table Grid"/>
    <w:basedOn w:val="88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4" w:customStyle="1">
    <w:name w:val="ConsPlusNormal"/>
    <w:link w:val="942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905">
    <w:name w:val="Header"/>
    <w:basedOn w:val="882"/>
    <w:link w:val="90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0"/>
    </w:rPr>
  </w:style>
  <w:style w:type="character" w:styleId="906" w:customStyle="1">
    <w:name w:val="Верхний колонтитул Знак"/>
    <w:basedOn w:val="887"/>
    <w:link w:val="905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07">
    <w:name w:val="Footer"/>
    <w:basedOn w:val="882"/>
    <w:link w:val="90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0"/>
    </w:rPr>
  </w:style>
  <w:style w:type="character" w:styleId="908" w:customStyle="1">
    <w:name w:val="Нижний колонтитул Знак"/>
    <w:basedOn w:val="887"/>
    <w:link w:val="907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909">
    <w:name w:val="page number"/>
    <w:uiPriority w:val="99"/>
  </w:style>
  <w:style w:type="paragraph" w:styleId="910">
    <w:name w:val="List"/>
    <w:basedOn w:val="882"/>
    <w:uiPriority w:val="99"/>
    <w:pPr>
      <w:ind w:left="283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12">
    <w:name w:val="HTML Preformatted"/>
    <w:basedOn w:val="882"/>
    <w:link w:val="913"/>
    <w:uiPriority w:val="99"/>
    <w:pPr>
      <w:ind w:left="612"/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913" w:customStyle="1">
    <w:name w:val="Стандартный HTML Знак"/>
    <w:basedOn w:val="887"/>
    <w:link w:val="912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914">
    <w:name w:val="Normal (Web)"/>
    <w:basedOn w:val="882"/>
    <w:uiPriority w:val="99"/>
    <w:pPr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916" w:customStyle="1">
    <w:name w:val="ConsPlusTitle"/>
    <w:pPr>
      <w:jc w:val="both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17">
    <w:name w:val="Document Map"/>
    <w:basedOn w:val="882"/>
    <w:link w:val="918"/>
    <w:uiPriority w:val="99"/>
    <w:semiHidden/>
    <w:pPr>
      <w:spacing w:after="0" w:line="240" w:lineRule="auto"/>
      <w:shd w:val="clear" w:color="auto" w:fill="000080"/>
    </w:pPr>
    <w:rPr>
      <w:rFonts w:ascii="Tahoma" w:hAnsi="Tahoma" w:eastAsia="Times New Roman" w:cs="Times New Roman"/>
      <w:sz w:val="20"/>
      <w:szCs w:val="20"/>
    </w:rPr>
  </w:style>
  <w:style w:type="character" w:styleId="918" w:customStyle="1">
    <w:name w:val="Схема документа Знак"/>
    <w:basedOn w:val="887"/>
    <w:link w:val="917"/>
    <w:uiPriority w:val="99"/>
    <w:semiHidden/>
    <w:rPr>
      <w:rFonts w:ascii="Tahoma" w:hAnsi="Tahoma" w:eastAsia="Times New Roman" w:cs="Times New Roman"/>
      <w:sz w:val="20"/>
      <w:szCs w:val="20"/>
      <w:shd w:val="clear" w:color="auto" w:fill="000080"/>
    </w:rPr>
  </w:style>
  <w:style w:type="paragraph" w:styleId="919">
    <w:name w:val="Body Text 2"/>
    <w:basedOn w:val="882"/>
    <w:link w:val="920"/>
    <w:uiPriority w:val="99"/>
    <w:pPr>
      <w:spacing w:after="0" w:line="240" w:lineRule="auto"/>
    </w:pPr>
    <w:rPr>
      <w:rFonts w:ascii="Arial" w:hAnsi="Arial" w:eastAsia="Times New Roman" w:cs="Times New Roman"/>
      <w:b/>
      <w:sz w:val="24"/>
      <w:szCs w:val="20"/>
    </w:rPr>
  </w:style>
  <w:style w:type="character" w:styleId="920" w:customStyle="1">
    <w:name w:val="Основной текст 2 Знак"/>
    <w:basedOn w:val="887"/>
    <w:link w:val="919"/>
    <w:uiPriority w:val="99"/>
    <w:rPr>
      <w:rFonts w:ascii="Arial" w:hAnsi="Arial" w:eastAsia="Times New Roman" w:cs="Times New Roman"/>
      <w:b/>
      <w:sz w:val="24"/>
      <w:szCs w:val="20"/>
    </w:rPr>
  </w:style>
  <w:style w:type="paragraph" w:styleId="921" w:customStyle="1">
    <w:name w:val="Знак1 Знак Знак Знак"/>
    <w:basedOn w:val="882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922">
    <w:name w:val="Title"/>
    <w:basedOn w:val="882"/>
    <w:link w:val="923"/>
    <w:uiPriority w:val="99"/>
    <w:qFormat/>
    <w:pPr>
      <w:ind w:firstLine="567"/>
      <w:jc w:val="center"/>
      <w:spacing w:after="0" w:line="240" w:lineRule="auto"/>
    </w:pPr>
    <w:rPr>
      <w:rFonts w:ascii="Times New Roman" w:hAnsi="Times New Roman" w:eastAsia="Times New Roman" w:cs="Times New Roman"/>
      <w:b/>
      <w:spacing w:val="20"/>
      <w:sz w:val="28"/>
      <w:szCs w:val="20"/>
    </w:rPr>
  </w:style>
  <w:style w:type="character" w:styleId="923" w:customStyle="1">
    <w:name w:val="Название Знак"/>
    <w:basedOn w:val="887"/>
    <w:link w:val="922"/>
    <w:uiPriority w:val="99"/>
    <w:rPr>
      <w:rFonts w:ascii="Times New Roman" w:hAnsi="Times New Roman" w:eastAsia="Times New Roman" w:cs="Times New Roman"/>
      <w:b/>
      <w:spacing w:val="20"/>
      <w:sz w:val="28"/>
      <w:szCs w:val="20"/>
    </w:rPr>
  </w:style>
  <w:style w:type="paragraph" w:styleId="924">
    <w:name w:val="Body Text Indent"/>
    <w:basedOn w:val="882"/>
    <w:link w:val="925"/>
    <w:uiPriority w:val="99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925" w:customStyle="1">
    <w:name w:val="Основной текст с отступом Знак"/>
    <w:basedOn w:val="887"/>
    <w:link w:val="924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26">
    <w:name w:val="Body Text 3"/>
    <w:basedOn w:val="882"/>
    <w:link w:val="927"/>
    <w:uiPriority w:val="99"/>
    <w:semiHidden/>
    <w:unhideWhenUsed/>
    <w:pPr>
      <w:spacing w:after="120"/>
    </w:pPr>
    <w:rPr>
      <w:rFonts w:ascii="Calibri" w:hAnsi="Calibri" w:eastAsia="Times New Roman" w:cs="Times New Roman"/>
      <w:sz w:val="16"/>
      <w:szCs w:val="20"/>
    </w:rPr>
  </w:style>
  <w:style w:type="character" w:styleId="927" w:customStyle="1">
    <w:name w:val="Основной текст 3 Знак"/>
    <w:basedOn w:val="887"/>
    <w:link w:val="926"/>
    <w:uiPriority w:val="99"/>
    <w:semiHidden/>
    <w:rPr>
      <w:rFonts w:ascii="Calibri" w:hAnsi="Calibri" w:eastAsia="Times New Roman" w:cs="Times New Roman"/>
      <w:sz w:val="16"/>
      <w:szCs w:val="20"/>
    </w:rPr>
  </w:style>
  <w:style w:type="paragraph" w:styleId="928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929" w:customStyle="1">
    <w:name w:val="Знак Знак Знак Знак Знак Знак Знак"/>
    <w:basedOn w:val="882"/>
    <w:pPr>
      <w:spacing w:after="0" w:line="240" w:lineRule="auto"/>
    </w:pPr>
    <w:rPr>
      <w:rFonts w:ascii="Verdana" w:hAnsi="Verdana" w:eastAsia="Times New Roman" w:cs="Verdana"/>
      <w:sz w:val="24"/>
      <w:szCs w:val="24"/>
      <w:lang w:eastAsia="en-US"/>
    </w:rPr>
  </w:style>
  <w:style w:type="paragraph" w:styleId="93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31">
    <w:name w:val="Body Text"/>
    <w:basedOn w:val="882"/>
    <w:link w:val="932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932" w:customStyle="1">
    <w:name w:val="Основной текст Знак"/>
    <w:basedOn w:val="887"/>
    <w:link w:val="931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33">
    <w:name w:val="Caption"/>
    <w:basedOn w:val="882"/>
    <w:next w:val="882"/>
    <w:uiPriority w:val="3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934">
    <w:name w:val="annotation reference"/>
    <w:uiPriority w:val="99"/>
    <w:semiHidden/>
    <w:unhideWhenUsed/>
    <w:rPr>
      <w:sz w:val="16"/>
      <w:szCs w:val="16"/>
    </w:rPr>
  </w:style>
  <w:style w:type="paragraph" w:styleId="935">
    <w:name w:val="annotation text"/>
    <w:basedOn w:val="882"/>
    <w:link w:val="936"/>
    <w:uiPriority w:val="99"/>
    <w:semiHidden/>
    <w:unhideWhenUsed/>
    <w:rPr>
      <w:rFonts w:ascii="Calibri" w:hAnsi="Calibri" w:eastAsia="Times New Roman" w:cs="Times New Roman"/>
      <w:sz w:val="20"/>
      <w:szCs w:val="20"/>
    </w:rPr>
  </w:style>
  <w:style w:type="character" w:styleId="936" w:customStyle="1">
    <w:name w:val="Текст примечания Знак"/>
    <w:basedOn w:val="887"/>
    <w:link w:val="935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937">
    <w:name w:val="annotation subject"/>
    <w:basedOn w:val="935"/>
    <w:next w:val="935"/>
    <w:link w:val="938"/>
    <w:uiPriority w:val="99"/>
    <w:semiHidden/>
    <w:unhideWhenUsed/>
    <w:rPr>
      <w:b/>
      <w:bCs/>
    </w:rPr>
  </w:style>
  <w:style w:type="character" w:styleId="938" w:customStyle="1">
    <w:name w:val="Тема примечания Знак"/>
    <w:basedOn w:val="936"/>
    <w:link w:val="937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paragraph" w:styleId="939" w:customStyle="1">
    <w:name w:val="s_1"/>
    <w:basedOn w:val="8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40" w:customStyle="1">
    <w:name w:val="formattext"/>
    <w:basedOn w:val="8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41" w:customStyle="1">
    <w:name w:val="headertext"/>
    <w:basedOn w:val="8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42" w:customStyle="1">
    <w:name w:val="ConsPlusNormal Знак"/>
    <w:link w:val="904"/>
    <w:rPr>
      <w:rFonts w:ascii="Arial" w:hAnsi="Arial" w:eastAsia="Times New Roman" w:cs="Arial"/>
      <w:sz w:val="20"/>
      <w:szCs w:val="20"/>
    </w:rPr>
  </w:style>
  <w:style w:type="character" w:styleId="943">
    <w:name w:val="FollowedHyperlink"/>
    <w:uiPriority w:val="99"/>
    <w:semiHidden/>
    <w:unhideWhenUsed/>
    <w:rPr>
      <w:color w:val="800080"/>
      <w:u w:val="single"/>
    </w:rPr>
  </w:style>
  <w:style w:type="paragraph" w:styleId="944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4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</w:rPr>
  </w:style>
  <w:style w:type="paragraph" w:styleId="946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</w:rPr>
  </w:style>
  <w:style w:type="paragraph" w:styleId="947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948" w:customStyle="1">
    <w:name w:val="Название проектного документа"/>
    <w:basedOn w:val="882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2" Type="http://schemas.openxmlformats.org/officeDocument/2006/relationships/hyperlink" Target="consultantplus://offline/ref=48C94BD3BCB6F6D1411AF19C2503BD462353BEE916BB41905EB786DD829D5E9C8F8BEFD7D335CB2333BBFAC261a0NAI" TargetMode="External"/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2" Type="http://schemas.openxmlformats.org/officeDocument/2006/relationships/hyperlink" Target="consultantplus://offline/ref=FCCF22C2CC153EBF82085F1C10AA7DCF3FA89DBE92AAC43A82AA25BFADCEBB2EDD5DAD42E26731539B081C80046F933F439BC6BAuDd7I" TargetMode="External"/><Relationship Id="rId23" Type="http://schemas.openxmlformats.org/officeDocument/2006/relationships/hyperlink" Target="consultantplus://offline/ref=FCCF22C2CC153EBF82085F1C10AA7DCF3FA89DBE92AAC43A82AA25BFADCEBB2EDD5DAD42E06731539B081C80046F933F439BC6BAuDd7I" TargetMode="External"/><Relationship Id="rId24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25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26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7" Type="http://schemas.openxmlformats.org/officeDocument/2006/relationships/hyperlink" Target="consultantplus://offline/ref=FCCF22C2CC153EBF82085F1C10AA7DCF3FAB99BF9FA7C43A82AA25BFADCEBB2EDD5DAD45E83834468A501083187192205F99C4uBdBI" TargetMode="External"/><Relationship Id="rId28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9" Type="http://schemas.openxmlformats.org/officeDocument/2006/relationships/hyperlink" Target="consultantplus://offline/ref=6D7E2309C4E244324232B519C07FCB86A8026C0ACFD7F668A6961A2321D10FF6ABE7BA1E8E0C96CE58A448C52DFFB6EA7F60685BtBs6L" TargetMode="External"/><Relationship Id="rId30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4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5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7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0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3" Type="http://schemas.openxmlformats.org/officeDocument/2006/relationships/hyperlink" Target="consultantplus://offline/ref=6D7E2309C4E244324232B519C07FCB86A8026C0ACFD7F668A6961A2321D10FF6B9E7E2178C00DC9F1AEF47C428tEs3L" TargetMode="External"/><Relationship Id="rId44" Type="http://schemas.openxmlformats.org/officeDocument/2006/relationships/hyperlink" Target="consultantplus://offline/ref=6D7E2309C4E244324232B519C07FCB86AF0A620CCBDFF668A6961A2321D10FF6B9E7E2178C00DC9F1AEF47C428tEs3L" TargetMode="External"/><Relationship Id="rId45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consultantplus://offline/ref=6D7E2309C4E244324232B519C07FCB86A8026C0ACFD7F668A6961A2321D10FF6ABE7BA188903C9CB4DB510C92BE6A8EC677C6A59B6tFs4L" TargetMode="External"/><Relationship Id="rId47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48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49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0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52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3" Type="http://schemas.openxmlformats.org/officeDocument/2006/relationships/hyperlink" Target="consultantplus://offline/ref=6D7E2309C4E244324232B519C07FCB86A8026C0ACFD7F668A6961A2321D10FF6ABE7BA1B8C05C9CB4DB510C92BE6A8EC677C6A59B6tFs4L" TargetMode="External"/><Relationship Id="rId54" Type="http://schemas.openxmlformats.org/officeDocument/2006/relationships/hyperlink" Target="consultantplus://offline/ref=6D7E2309C4E244324232B519C07FCB86A8026C0ACFD7F668A6961A2321D10FF6ABE7BA188C0EC9CB4DB510C92BE6A8EC677C6A59B6tFs4L" TargetMode="External"/><Relationship Id="rId55" Type="http://schemas.openxmlformats.org/officeDocument/2006/relationships/hyperlink" Target="consultantplus://offline/ref=99BED51A5210E022B30AA9549FC7166E9378FDCB625D41E1A4B33167D3D9417E6E7D54F821A500C95E2C33C5E0XB6CL" TargetMode="External"/><Relationship Id="rId56" Type="http://schemas.openxmlformats.org/officeDocument/2006/relationships/hyperlink" Target="consultantplus://offline/ref=99BED51A5210E022B30AA9549FC7166E9378FDCB6C5041E1A4B33167D3D9417E6E7D54F821A500C95E2C33C5E0XB6CL" TargetMode="External"/><Relationship Id="rId57" Type="http://schemas.openxmlformats.org/officeDocument/2006/relationships/hyperlink" Target="consultantplus://offline/ref=99BED51A5210E022B30AA9549FC7166E9378FDCB6C5041E1A4B33167D3D9417E6E7D54F821A500C95E2C33C5E0XB6CL" TargetMode="External"/><Relationship Id="rId58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59" Type="http://schemas.openxmlformats.org/officeDocument/2006/relationships/hyperlink" Target="consultantplus://offline/ref=99BED51A5210E022B30AA9549FC7166E9471F2CC675541E1A4B33167D3D9417E6E7D54F821A500C95E2C33C5E0XB6C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3B44F-C07F-4D40-8C95-B3ACC2B6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123</cp:revision>
  <dcterms:created xsi:type="dcterms:W3CDTF">2017-12-14T18:43:00Z</dcterms:created>
  <dcterms:modified xsi:type="dcterms:W3CDTF">2025-01-23T02:49:58Z</dcterms:modified>
</cp:coreProperties>
</file>