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1"/>
        <w:ind w:right="-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/>
    </w:p>
    <w:p>
      <w:pPr>
        <w:pStyle w:val="691"/>
        <w:ind w:right="-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СОВЕТ ТЫМСКОГО СЕЛЬСКОГО  ПОСЕЛЕНИЯ</w:t>
      </w:r>
      <w:r/>
    </w:p>
    <w:p>
      <w:pPr>
        <w:pStyle w:val="6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</w:r>
      <w:r/>
    </w:p>
    <w:p>
      <w:pPr>
        <w:pStyle w:val="6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РЕШЕНИЕ</w:t>
      </w:r>
      <w:r/>
    </w:p>
    <w:p>
      <w:pPr>
        <w:pStyle w:val="6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</w:r>
      <w:r/>
    </w:p>
    <w:p>
      <w:pPr>
        <w:pStyle w:val="69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</w:r>
      <w:r/>
    </w:p>
    <w:p>
      <w:pPr>
        <w:pStyle w:val="6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04.</w:t>
      </w:r>
      <w:r>
        <w:rPr>
          <w:rFonts w:ascii="Arial" w:hAnsi="Arial" w:cs="Arial"/>
          <w:sz w:val="24"/>
          <w:szCs w:val="24"/>
        </w:rPr>
        <w:t xml:space="preserve">05.2023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 xml:space="preserve">20</w:t>
      </w:r>
      <w:r/>
    </w:p>
    <w:p>
      <w:pPr>
        <w:pStyle w:val="6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pStyle w:val="6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Тымск</w:t>
      </w:r>
      <w:r/>
    </w:p>
    <w:p>
      <w:pPr>
        <w:pStyle w:val="689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</w:r>
      <w:r/>
    </w:p>
    <w:p>
      <w:pPr>
        <w:pStyle w:val="689"/>
        <w:jc w:val="center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Об утверждении Перечня индикаторов риска нарушения обязательных требований, проверяемых в рамках осуществления муниципального жилищного контроля на территории муниципального </w:t>
      </w:r>
      <w:r>
        <w:rPr>
          <w:rFonts w:ascii="Arial" w:hAnsi="Arial" w:cs="Arial"/>
          <w:b/>
          <w:bCs/>
          <w:sz w:val="24"/>
          <w:szCs w:val="24"/>
        </w:rPr>
        <w:t xml:space="preserve">образования «Тымское сельское поселение</w:t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pStyle w:val="686"/>
        <w:ind w:firstLine="480"/>
        <w:jc w:val="both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со </w:t>
      </w:r>
      <w:hyperlink r:id="rId11" w:tooltip="https://docs.cntd.ru/document/744100004#A780N9" w:anchor="A780N9" w:history="1">
        <w:r>
          <w:rPr>
            <w:rStyle w:val="684"/>
            <w:rFonts w:ascii="Arial" w:hAnsi="Arial" w:cs="Arial"/>
            <w:color w:val="auto"/>
            <w:u w:val="none"/>
          </w:rPr>
          <w:t xml:space="preserve">статьей 20 Жилищного кодекса Российской Федерации</w:t>
        </w:r>
      </w:hyperlink>
      <w:r>
        <w:rPr>
          <w:rFonts w:ascii="Arial" w:hAnsi="Arial" w:cs="Arial"/>
        </w:rPr>
        <w:t xml:space="preserve">, </w:t>
      </w:r>
      <w:hyperlink r:id="rId12" w:tooltip="https://docs.cntd.ru/document/565415215#64U0IK" w:anchor="64U0IK" w:history="1">
        <w:r>
          <w:rPr>
            <w:rStyle w:val="684"/>
            <w:rFonts w:ascii="Arial" w:hAnsi="Arial" w:cs="Arial"/>
            <w:color w:val="auto"/>
            <w:u w:val="none"/>
          </w:rPr>
          <w:t xml:space="preserve"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>
        <w:rPr>
          <w:rFonts w:ascii="Arial" w:hAnsi="Arial" w:cs="Arial"/>
        </w:rPr>
        <w:t xml:space="preserve">», Уставом муниципального образования «</w:t>
      </w:r>
      <w:r>
        <w:rPr>
          <w:rFonts w:ascii="Arial" w:hAnsi="Arial" w:cs="Arial"/>
          <w:bCs/>
        </w:rPr>
        <w:t xml:space="preserve">Тымское</w:t>
      </w:r>
      <w:r>
        <w:rPr>
          <w:rFonts w:ascii="Arial" w:hAnsi="Arial" w:cs="Arial"/>
        </w:rPr>
        <w:t xml:space="preserve"> сельское поселение» </w:t>
      </w:r>
      <w:r/>
    </w:p>
    <w:p>
      <w:pPr>
        <w:pStyle w:val="686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РЕШИЛ:</w:t>
      </w:r>
      <w:r>
        <w:rPr>
          <w:rFonts w:ascii="Arial" w:hAnsi="Arial" w:cs="Arial"/>
          <w:b/>
        </w:rPr>
        <w:br/>
      </w:r>
      <w:r/>
    </w:p>
    <w:p>
      <w:pPr>
        <w:pStyle w:val="687"/>
        <w:ind w:firstLine="482"/>
        <w:jc w:val="both"/>
        <w:spacing w:before="0" w:beforeAutospacing="0" w:after="0" w:afterAutospacing="0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bCs/>
          <w:iCs/>
        </w:rPr>
        <w:t xml:space="preserve">Утвердить Перечни индикаторов риска нарушения обязательных требований, проверяемых в рамках осуществления муниципального жилищного контроля на территории муниципального образования «</w:t>
      </w:r>
      <w:r>
        <w:rPr>
          <w:rFonts w:ascii="Arial" w:hAnsi="Arial" w:cs="Arial"/>
          <w:bCs/>
        </w:rPr>
        <w:t xml:space="preserve">Тымское</w:t>
      </w:r>
      <w:r>
        <w:rPr>
          <w:rFonts w:ascii="Arial" w:hAnsi="Arial" w:cs="Arial"/>
          <w:bCs/>
          <w:iCs/>
        </w:rPr>
        <w:t xml:space="preserve"> сельское поселение» согласно </w:t>
      </w:r>
      <w:hyperlink r:id="rId13" w:tooltip="https://docs.cntd.ru/document/573798705#65C0IR" w:anchor="65C0IR" w:history="1">
        <w:r>
          <w:rPr>
            <w:rFonts w:ascii="Arial" w:hAnsi="Arial" w:cs="Arial"/>
            <w:bCs/>
            <w:iCs/>
          </w:rPr>
          <w:t xml:space="preserve">приложению</w:t>
        </w:r>
      </w:hyperlink>
      <w:r>
        <w:rPr>
          <w:rFonts w:ascii="Arial" w:hAnsi="Arial" w:cs="Arial"/>
          <w:bCs/>
          <w:iCs/>
        </w:rPr>
        <w:t xml:space="preserve">.</w:t>
      </w:r>
      <w:r/>
    </w:p>
    <w:p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Разместить настоящее решение на официальном сайте муниципального образования «Тымское сельское поселение».</w:t>
      </w:r>
      <w:r/>
    </w:p>
    <w:p>
      <w:pPr>
        <w:pStyle w:val="686"/>
        <w:ind w:firstLine="480"/>
        <w:jc w:val="both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br/>
      </w:r>
      <w:r/>
    </w:p>
    <w:p>
      <w:pPr>
        <w:pStyle w:val="6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pStyle w:val="691"/>
        <w:rPr>
          <w:rFonts w:ascii="Arial" w:hAnsi="Arial" w:eastAsia="Calibri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</w:rPr>
        <w:t xml:space="preserve">Председатель Совета </w:t>
      </w:r>
      <w:r/>
    </w:p>
    <w:p>
      <w:pPr>
        <w:pStyle w:val="691"/>
        <w:rPr>
          <w:rFonts w:ascii="Arial" w:hAnsi="Arial" w:eastAsia="Calibri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</w:rPr>
        <w:t xml:space="preserve">Тымского сельского поселения                                                          А.В. Панова</w:t>
      </w:r>
      <w:r/>
    </w:p>
    <w:p>
      <w:pPr>
        <w:pStyle w:val="676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676"/>
        <w:jc w:val="right"/>
        <w:rPr>
          <w:rFonts w:ascii="Arial" w:hAnsi="Arial" w:cs="Arial"/>
          <w:b w:val="0"/>
          <w:bCs/>
          <w:iCs/>
          <w:sz w:val="24"/>
          <w:szCs w:val="24"/>
        </w:rPr>
      </w:pPr>
      <w:r>
        <w:rPr>
          <w:rFonts w:ascii="Arial" w:hAnsi="Arial" w:cs="Arial"/>
          <w:b w:val="0"/>
          <w:bCs/>
          <w:iCs/>
          <w:sz w:val="24"/>
          <w:szCs w:val="24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676"/>
        <w:jc w:val="right"/>
        <w:rPr>
          <w:rFonts w:ascii="Arial" w:hAnsi="Arial" w:cs="Arial"/>
          <w:b w:val="0"/>
          <w:bCs/>
          <w:iCs/>
          <w:sz w:val="24"/>
          <w:szCs w:val="24"/>
        </w:rPr>
      </w:pPr>
      <w:r>
        <w:rPr>
          <w:rFonts w:ascii="Arial" w:hAnsi="Arial" w:cs="Arial"/>
          <w:b w:val="0"/>
          <w:bCs/>
          <w:iCs/>
          <w:sz w:val="24"/>
          <w:szCs w:val="24"/>
        </w:rPr>
      </w:r>
      <w:r/>
    </w:p>
    <w:p>
      <w:pPr>
        <w:pStyle w:val="676"/>
        <w:jc w:val="right"/>
        <w:rPr>
          <w:rFonts w:ascii="Arial" w:hAnsi="Arial" w:cs="Arial"/>
          <w:b w:val="0"/>
          <w:bCs/>
          <w:iCs/>
          <w:sz w:val="24"/>
          <w:szCs w:val="24"/>
        </w:rPr>
      </w:pPr>
      <w:r>
        <w:rPr>
          <w:rFonts w:ascii="Arial" w:hAnsi="Arial" w:cs="Arial"/>
          <w:b w:val="0"/>
          <w:bCs/>
          <w:iCs/>
          <w:sz w:val="24"/>
          <w:szCs w:val="24"/>
        </w:rPr>
      </w:r>
      <w:r/>
    </w:p>
    <w:p>
      <w:pPr>
        <w:pStyle w:val="676"/>
        <w:jc w:val="right"/>
        <w:rPr>
          <w:rFonts w:ascii="Arial" w:hAnsi="Arial" w:cs="Arial"/>
          <w:b w:val="0"/>
          <w:bCs/>
          <w:iCs/>
          <w:sz w:val="24"/>
          <w:szCs w:val="24"/>
        </w:rPr>
      </w:pPr>
      <w:r>
        <w:rPr>
          <w:rFonts w:ascii="Arial" w:hAnsi="Arial" w:cs="Arial"/>
          <w:b w:val="0"/>
          <w:bCs/>
          <w:iCs/>
          <w:sz w:val="24"/>
          <w:szCs w:val="24"/>
        </w:rPr>
        <w:t xml:space="preserve">Приложение</w:t>
      </w:r>
      <w:r>
        <w:rPr>
          <w:rFonts w:ascii="Arial" w:hAnsi="Arial" w:cs="Arial"/>
          <w:b w:val="0"/>
          <w:bCs/>
          <w:iCs/>
          <w:sz w:val="24"/>
          <w:szCs w:val="24"/>
        </w:rPr>
        <w:br/>
        <w:t xml:space="preserve">к решению Совета Тымского</w:t>
      </w:r>
      <w:r/>
    </w:p>
    <w:p>
      <w:pPr>
        <w:pStyle w:val="676"/>
        <w:jc w:val="right"/>
        <w:rPr>
          <w:rFonts w:ascii="Arial" w:hAnsi="Arial" w:cs="Arial"/>
          <w:b w:val="0"/>
          <w:bCs/>
          <w:iCs/>
          <w:sz w:val="24"/>
          <w:szCs w:val="24"/>
        </w:rPr>
      </w:pPr>
      <w:r>
        <w:rPr>
          <w:rFonts w:ascii="Arial" w:hAnsi="Arial" w:cs="Arial"/>
          <w:b w:val="0"/>
          <w:bCs/>
          <w:iCs/>
          <w:sz w:val="24"/>
          <w:szCs w:val="24"/>
        </w:rPr>
        <w:t xml:space="preserve">сельского поселения</w:t>
      </w:r>
      <w:r/>
    </w:p>
    <w:p>
      <w:pPr>
        <w:pStyle w:val="676"/>
        <w:jc w:val="right"/>
        <w:rPr>
          <w:rFonts w:ascii="Arial" w:hAnsi="Arial" w:cs="Arial"/>
          <w:b w:val="0"/>
          <w:bCs/>
          <w:iCs/>
          <w:sz w:val="24"/>
          <w:szCs w:val="24"/>
        </w:rPr>
      </w:pPr>
      <w:r>
        <w:rPr>
          <w:rFonts w:ascii="Arial" w:hAnsi="Arial" w:cs="Arial"/>
          <w:b w:val="0"/>
          <w:bCs/>
          <w:iCs/>
          <w:sz w:val="24"/>
          <w:szCs w:val="24"/>
        </w:rPr>
        <w:t xml:space="preserve"> от </w:t>
      </w:r>
      <w:r>
        <w:rPr>
          <w:rFonts w:ascii="Arial" w:hAnsi="Arial" w:cs="Arial"/>
          <w:b w:val="0"/>
          <w:bCs/>
          <w:iCs/>
          <w:sz w:val="24"/>
          <w:szCs w:val="24"/>
        </w:rPr>
        <w:t xml:space="preserve">04</w:t>
      </w:r>
      <w:r>
        <w:rPr>
          <w:rFonts w:ascii="Arial" w:hAnsi="Arial" w:cs="Arial"/>
          <w:b w:val="0"/>
          <w:bCs/>
          <w:iCs/>
          <w:sz w:val="24"/>
          <w:szCs w:val="24"/>
        </w:rPr>
        <w:t xml:space="preserve">.05.2023 №</w:t>
      </w:r>
      <w:r>
        <w:rPr>
          <w:rFonts w:ascii="Arial" w:hAnsi="Arial" w:cs="Arial"/>
          <w:b w:val="0"/>
          <w:bCs/>
          <w:iCs/>
          <w:sz w:val="24"/>
          <w:szCs w:val="24"/>
        </w:rPr>
        <w:t xml:space="preserve"> 20</w:t>
      </w:r>
      <w:r>
        <w:rPr>
          <w:rFonts w:ascii="Arial" w:hAnsi="Arial" w:cs="Arial"/>
          <w:b w:val="0"/>
          <w:bCs/>
          <w:iCs/>
          <w:sz w:val="24"/>
          <w:szCs w:val="24"/>
        </w:rPr>
        <w:t xml:space="preserve"> </w:t>
      </w:r>
      <w:r/>
    </w:p>
    <w:p>
      <w:pPr>
        <w:pStyle w:val="687"/>
        <w:ind w:firstLine="482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Перечень индикаторов риска нарушения обязательных требований, проверяемых в рамках осуществления муниципального жилищного контроля на территории муниципального образования «Тымское сельское поселение»</w:t>
      </w:r>
      <w:r/>
    </w:p>
    <w:p>
      <w:pPr>
        <w:pStyle w:val="685"/>
        <w:numPr>
          <w:ilvl w:val="0"/>
          <w:numId w:val="1"/>
        </w:numPr>
        <w:ind w:left="0" w:firstLine="0"/>
        <w:jc w:val="both"/>
        <w:widowControl w:val="off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Признаки нарушения правил сохранности жилищного фонда.</w:t>
      </w:r>
      <w:bookmarkStart w:id="0" w:name="_GoBack"/>
      <w:r/>
      <w:bookmarkEnd w:id="0"/>
      <w:r/>
      <w:r/>
    </w:p>
    <w:p>
      <w:pPr>
        <w:numPr>
          <w:ilvl w:val="0"/>
          <w:numId w:val="1"/>
        </w:numPr>
        <w:ind w:left="0" w:firstLine="0"/>
        <w:jc w:val="both"/>
        <w:shd w:val="clear" w:color="auto" w:fill="ffffff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  <w:r/>
    </w:p>
    <w:p>
      <w:pPr>
        <w:numPr>
          <w:ilvl w:val="0"/>
          <w:numId w:val="1"/>
        </w:numPr>
        <w:ind w:left="0" w:firstLine="0"/>
        <w:jc w:val="both"/>
        <w:shd w:val="clear" w:color="auto" w:fill="ffffff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Неоднократные (два и более) обращения собственников помещений в многоквартирных домах о неисполнении требований к использованию и содержанию жилых помещений, к использованию и содержанию общего имущества, в течение трех месяцев подряд.</w:t>
      </w:r>
      <w:r/>
    </w:p>
    <w:p>
      <w:pPr>
        <w:ind w:left="720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686"/>
        <w:ind w:firstLine="480"/>
        <w:jc w:val="both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426" w:right="851" w:bottom="1134" w:left="1701" w:header="1134" w:footer="113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rPr>
        <w:rStyle w:val="683"/>
      </w:rPr>
      <w:framePr w:wrap="around" w:vAnchor="text" w:hAnchor="margin" w:xAlign="center" w:y="1"/>
    </w:pPr>
    <w:r>
      <w:rPr>
        <w:rStyle w:val="683"/>
      </w:rPr>
      <w:fldChar w:fldCharType="begin"/>
    </w:r>
    <w:r>
      <w:rPr>
        <w:rStyle w:val="683"/>
      </w:rPr>
      <w:instrText xml:space="preserve">PAGE  </w:instrText>
    </w:r>
    <w:r>
      <w:rPr>
        <w:rStyle w:val="683"/>
      </w:rPr>
      <w:fldChar w:fldCharType="separate"/>
    </w:r>
    <w:r>
      <w:rPr>
        <w:rStyle w:val="683"/>
      </w:rPr>
      <w:t xml:space="preserve">1</w:t>
    </w:r>
    <w:r>
      <w:rPr>
        <w:rStyle w:val="683"/>
      </w:rPr>
      <w:fldChar w:fldCharType="end"/>
    </w:r>
    <w:r/>
  </w:p>
  <w:p>
    <w:pPr>
      <w:pStyle w:val="681"/>
      <w:rPr>
        <w:rStyle w:val="683"/>
      </w:rPr>
      <w:framePr w:wrap="around" w:vAnchor="text" w:hAnchor="page" w:x="6037" w:y="421"/>
    </w:pPr>
    <w:r/>
    <w:r/>
  </w:p>
  <w:p>
    <w:pPr>
      <w:pStyle w:val="681"/>
      <w:ind w:right="360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rPr>
        <w:rStyle w:val="683"/>
      </w:rPr>
      <w:framePr w:wrap="around" w:vAnchor="text" w:hAnchor="margin" w:xAlign="center" w:y="1"/>
    </w:pPr>
    <w:r>
      <w:rPr>
        <w:rStyle w:val="683"/>
      </w:rPr>
      <w:fldChar w:fldCharType="begin"/>
    </w:r>
    <w:r>
      <w:rPr>
        <w:rStyle w:val="683"/>
      </w:rPr>
      <w:instrText xml:space="preserve">PAGE  </w:instrText>
    </w:r>
    <w:r>
      <w:rPr>
        <w:rStyle w:val="683"/>
      </w:rPr>
      <w:fldChar w:fldCharType="end"/>
    </w:r>
    <w:r/>
  </w:p>
  <w:p>
    <w:pPr>
      <w:pStyle w:val="681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5"/>
    <w:next w:val="67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7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76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5"/>
    <w:next w:val="67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5"/>
    <w:next w:val="67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5"/>
    <w:next w:val="67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5"/>
    <w:next w:val="67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5"/>
    <w:next w:val="67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5"/>
    <w:next w:val="67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5"/>
    <w:next w:val="67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5"/>
    <w:uiPriority w:val="34"/>
    <w:qFormat/>
    <w:pPr>
      <w:contextualSpacing/>
      <w:ind w:left="720"/>
    </w:pPr>
  </w:style>
  <w:style w:type="paragraph" w:styleId="34">
    <w:name w:val="Title"/>
    <w:basedOn w:val="675"/>
    <w:next w:val="67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7"/>
    <w:link w:val="34"/>
    <w:uiPriority w:val="10"/>
    <w:rPr>
      <w:sz w:val="48"/>
      <w:szCs w:val="48"/>
    </w:rPr>
  </w:style>
  <w:style w:type="paragraph" w:styleId="36">
    <w:name w:val="Subtitle"/>
    <w:basedOn w:val="675"/>
    <w:next w:val="67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7"/>
    <w:link w:val="36"/>
    <w:uiPriority w:val="11"/>
    <w:rPr>
      <w:sz w:val="24"/>
      <w:szCs w:val="24"/>
    </w:rPr>
  </w:style>
  <w:style w:type="paragraph" w:styleId="38">
    <w:name w:val="Quote"/>
    <w:basedOn w:val="675"/>
    <w:next w:val="67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5"/>
    <w:next w:val="67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7"/>
    <w:link w:val="681"/>
    <w:uiPriority w:val="99"/>
  </w:style>
  <w:style w:type="paragraph" w:styleId="44">
    <w:name w:val="Footer"/>
    <w:basedOn w:val="67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77"/>
    <w:link w:val="44"/>
    <w:uiPriority w:val="99"/>
  </w:style>
  <w:style w:type="paragraph" w:styleId="46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7"/>
    <w:uiPriority w:val="99"/>
    <w:unhideWhenUsed/>
    <w:rPr>
      <w:vertAlign w:val="superscript"/>
    </w:rPr>
  </w:style>
  <w:style w:type="paragraph" w:styleId="178">
    <w:name w:val="endnote text"/>
    <w:basedOn w:val="67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7"/>
    <w:uiPriority w:val="99"/>
    <w:semiHidden/>
    <w:unhideWhenUsed/>
    <w:rPr>
      <w:vertAlign w:val="superscript"/>
    </w:rPr>
  </w:style>
  <w:style w:type="paragraph" w:styleId="181">
    <w:name w:val="toc 1"/>
    <w:basedOn w:val="675"/>
    <w:next w:val="67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5"/>
    <w:next w:val="67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5"/>
    <w:next w:val="67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5"/>
    <w:next w:val="67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5"/>
    <w:next w:val="67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5"/>
    <w:next w:val="67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5"/>
    <w:next w:val="67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5"/>
    <w:next w:val="67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5"/>
    <w:next w:val="67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5"/>
    <w:next w:val="675"/>
    <w:uiPriority w:val="99"/>
    <w:unhideWhenUsed/>
    <w:pPr>
      <w:spacing w:after="0" w:afterAutospacing="0"/>
    </w:pPr>
  </w:style>
  <w:style w:type="paragraph" w:styleId="67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6">
    <w:name w:val="Heading 2"/>
    <w:basedOn w:val="675"/>
    <w:next w:val="675"/>
    <w:link w:val="680"/>
    <w:uiPriority w:val="9"/>
    <w:qFormat/>
    <w:pPr>
      <w:jc w:val="center"/>
      <w:keepNext/>
      <w:outlineLvl w:val="1"/>
    </w:pPr>
    <w:rPr>
      <w:b/>
      <w:sz w:val="36"/>
      <w:szCs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2 Знак"/>
    <w:basedOn w:val="677"/>
    <w:link w:val="676"/>
    <w:uiPriority w:val="9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paragraph" w:styleId="681">
    <w:name w:val="Header"/>
    <w:basedOn w:val="675"/>
    <w:link w:val="682"/>
    <w:pPr>
      <w:tabs>
        <w:tab w:val="center" w:pos="4677" w:leader="none"/>
        <w:tab w:val="right" w:pos="9355" w:leader="none"/>
      </w:tabs>
    </w:pPr>
  </w:style>
  <w:style w:type="character" w:styleId="682" w:customStyle="1">
    <w:name w:val="Верхний колонтитул Знак"/>
    <w:basedOn w:val="677"/>
    <w:link w:val="68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3">
    <w:name w:val="page number"/>
    <w:basedOn w:val="677"/>
  </w:style>
  <w:style w:type="character" w:styleId="684">
    <w:name w:val="Hyperlink"/>
    <w:uiPriority w:val="99"/>
    <w:rPr>
      <w:color w:val="0000ff"/>
      <w:u w:val="single"/>
    </w:rPr>
  </w:style>
  <w:style w:type="paragraph" w:styleId="685" w:customStyle="1">
    <w:name w:val="ConsPlusNormal"/>
    <w:link w:val="68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6" w:customStyle="1">
    <w:name w:val="formattext"/>
    <w:basedOn w:val="675"/>
    <w:pPr>
      <w:spacing w:before="100" w:beforeAutospacing="1" w:after="100" w:afterAutospacing="1"/>
    </w:pPr>
  </w:style>
  <w:style w:type="paragraph" w:styleId="687" w:customStyle="1">
    <w:name w:val="headertext"/>
    <w:basedOn w:val="675"/>
    <w:pPr>
      <w:spacing w:before="100" w:beforeAutospacing="1" w:after="100" w:afterAutospacing="1"/>
    </w:pPr>
  </w:style>
  <w:style w:type="character" w:styleId="688" w:customStyle="1">
    <w:name w:val="ConsPlusNormal1"/>
    <w:link w:val="685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9">
    <w:name w:val="HTML Preformatted"/>
    <w:basedOn w:val="675"/>
    <w:link w:val="690"/>
    <w:pPr>
      <w:jc w:val="both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  <w:sz w:val="20"/>
      <w:szCs w:val="20"/>
      <w:lang w:eastAsia="ar-SA"/>
    </w:rPr>
  </w:style>
  <w:style w:type="character" w:styleId="690" w:customStyle="1">
    <w:name w:val="Стандартный HTML Знак"/>
    <w:basedOn w:val="677"/>
    <w:link w:val="689"/>
    <w:rPr>
      <w:rFonts w:ascii="Courier New" w:hAnsi="Courier New" w:eastAsia="Courier New" w:cs="Times New Roman"/>
      <w:sz w:val="20"/>
      <w:szCs w:val="20"/>
      <w:lang w:eastAsia="ar-SA"/>
    </w:rPr>
  </w:style>
  <w:style w:type="paragraph" w:styleId="691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s://docs.cntd.ru/document/744100004" TargetMode="External"/><Relationship Id="rId12" Type="http://schemas.openxmlformats.org/officeDocument/2006/relationships/hyperlink" Target="https://docs.cntd.ru/document/565415215" TargetMode="External"/><Relationship Id="rId13" Type="http://schemas.openxmlformats.org/officeDocument/2006/relationships/hyperlink" Target="https://docs.cntd.ru/document/57379870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Microsoft Corporation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</cp:revision>
  <dcterms:created xsi:type="dcterms:W3CDTF">2023-06-04T04:17:00Z</dcterms:created>
  <dcterms:modified xsi:type="dcterms:W3CDTF">2025-05-22T04:39:12Z</dcterms:modified>
</cp:coreProperties>
</file>